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DB438" w14:textId="399A08AF" w:rsidR="00B56766" w:rsidRPr="00B56766" w:rsidRDefault="00B56766" w:rsidP="00B56766">
      <w:pPr>
        <w:pStyle w:val="Heading1"/>
        <w:shd w:val="clear" w:color="auto" w:fill="FFFFFF"/>
        <w:spacing w:before="0" w:after="150"/>
        <w:ind w:right="225"/>
        <w:jc w:val="center"/>
        <w:rPr>
          <w:b/>
          <w:bCs/>
          <w:color w:val="333333"/>
          <w:sz w:val="32"/>
          <w:szCs w:val="32"/>
        </w:rPr>
      </w:pPr>
      <w:r w:rsidRPr="00B56766">
        <w:rPr>
          <w:b/>
          <w:bCs/>
          <w:color w:val="333333"/>
          <w:sz w:val="32"/>
          <w:szCs w:val="32"/>
        </w:rPr>
        <w:t>Supplementary Material</w:t>
      </w:r>
    </w:p>
    <w:p w14:paraId="07085BAB" w14:textId="292C45AA" w:rsidR="00B56766" w:rsidRPr="00B56766" w:rsidRDefault="00B56766" w:rsidP="00B56766">
      <w:pPr>
        <w:pStyle w:val="Heading1"/>
        <w:shd w:val="clear" w:color="auto" w:fill="FFFFFF"/>
        <w:spacing w:before="0" w:after="150"/>
        <w:ind w:right="225"/>
        <w:jc w:val="center"/>
        <w:rPr>
          <w:color w:val="333333"/>
          <w:sz w:val="28"/>
          <w:szCs w:val="28"/>
        </w:rPr>
      </w:pPr>
      <w:proofErr w:type="spellStart"/>
      <w:r w:rsidRPr="00B56766">
        <w:rPr>
          <w:b/>
          <w:bCs/>
          <w:color w:val="333333"/>
          <w:sz w:val="28"/>
          <w:szCs w:val="28"/>
        </w:rPr>
        <w:t>BrainEffeX</w:t>
      </w:r>
      <w:proofErr w:type="spellEnd"/>
      <w:r w:rsidRPr="00B56766">
        <w:rPr>
          <w:b/>
          <w:bCs/>
          <w:color w:val="333333"/>
          <w:sz w:val="28"/>
          <w:szCs w:val="28"/>
        </w:rPr>
        <w:t>: A Web App for Exploring fMRI Effect Sizes</w:t>
      </w:r>
    </w:p>
    <w:p w14:paraId="2EBE159D" w14:textId="7CD80A19" w:rsidR="00306B8E" w:rsidRDefault="00000000">
      <w:pPr>
        <w:pStyle w:val="Heading1"/>
        <w:rPr>
          <w:b/>
          <w:sz w:val="22"/>
          <w:szCs w:val="22"/>
          <w:u w:val="single"/>
        </w:rPr>
      </w:pPr>
      <w:r>
        <w:rPr>
          <w:b/>
          <w:sz w:val="22"/>
          <w:szCs w:val="22"/>
          <w:u w:val="single"/>
        </w:rPr>
        <w:t>Supplementary Methods</w:t>
      </w:r>
    </w:p>
    <w:p w14:paraId="4D4FE626" w14:textId="4B830808" w:rsidR="00306B8E" w:rsidRDefault="00000000">
      <w:pPr>
        <w:pStyle w:val="Heading2"/>
        <w:rPr>
          <w:b/>
          <w:sz w:val="22"/>
          <w:szCs w:val="22"/>
        </w:rPr>
      </w:pPr>
      <w:r>
        <w:rPr>
          <w:b/>
          <w:sz w:val="22"/>
          <w:szCs w:val="22"/>
        </w:rPr>
        <w:t>Preprocessing</w:t>
      </w:r>
    </w:p>
    <w:p w14:paraId="0D3D2FE7" w14:textId="77777777" w:rsidR="00306B8E" w:rsidRDefault="00000000">
      <w:r>
        <w:t xml:space="preserve">Currently, data have been provided by contributors at Yale and Northeastern University following standard pipelines used at Yale or using </w:t>
      </w:r>
      <w:proofErr w:type="spellStart"/>
      <w:r>
        <w:t>preprocessed</w:t>
      </w:r>
      <w:proofErr w:type="spellEnd"/>
      <w:r>
        <w:t xml:space="preserve"> data provided by the contributing publicly available datasets. Details about the preprocessing pipelines used by contributors can be found on the “Study Info” tab of BrainEffeX. In brief, functional connectivity and task-based activation data were obtained as follows.</w:t>
      </w:r>
    </w:p>
    <w:p w14:paraId="7F635A33" w14:textId="77777777" w:rsidR="00306B8E" w:rsidRDefault="00000000">
      <w:pPr>
        <w:pStyle w:val="Heading2"/>
        <w:rPr>
          <w:b/>
          <w:sz w:val="22"/>
          <w:szCs w:val="22"/>
        </w:rPr>
      </w:pPr>
      <w:bookmarkStart w:id="0" w:name="_6bocz7nrg71e" w:colFirst="0" w:colLast="0"/>
      <w:bookmarkEnd w:id="0"/>
      <w:r>
        <w:rPr>
          <w:b/>
          <w:sz w:val="22"/>
          <w:szCs w:val="22"/>
        </w:rPr>
        <w:t>Functional connectivity</w:t>
      </w:r>
    </w:p>
    <w:p w14:paraId="218859F4" w14:textId="77777777" w:rsidR="00306B8E" w:rsidRDefault="00000000">
      <w:pPr>
        <w:rPr>
          <w:vertAlign w:val="superscript"/>
        </w:rPr>
      </w:pPr>
      <w:r>
        <w:t>As of April 2025, all functional connectivity data was estimated as the Pearson’s correlation between time series of atlas nodes or components. Most data were parcellated with the Shen 268 atlas and the corresponding 10-network classification,</w:t>
      </w:r>
      <w:hyperlink r:id="rId4">
        <w:r w:rsidR="00306B8E">
          <w:rPr>
            <w:vertAlign w:val="superscript"/>
          </w:rPr>
          <w:t>1,2</w:t>
        </w:r>
      </w:hyperlink>
      <w:r>
        <w:t xml:space="preserve"> with the exception of the UK Biobank data that provided 55 components estimated from ICA.</w:t>
      </w:r>
      <w:hyperlink r:id="rId5">
        <w:r w:rsidR="00306B8E">
          <w:rPr>
            <w:vertAlign w:val="superscript"/>
          </w:rPr>
          <w:t>3</w:t>
        </w:r>
      </w:hyperlink>
      <w:r>
        <w:t xml:space="preserve"> FC was computed as the z-transformed Pearson's correlation coefficient of BOLD activation across time between pairs of nodes. Further processing details are included in Noble et al.</w:t>
      </w:r>
      <w:hyperlink r:id="rId6">
        <w:r w:rsidR="00306B8E">
          <w:rPr>
            <w:vertAlign w:val="superscript"/>
          </w:rPr>
          <w:t>4</w:t>
        </w:r>
      </w:hyperlink>
    </w:p>
    <w:p w14:paraId="06EFB00C" w14:textId="77777777" w:rsidR="00306B8E" w:rsidRDefault="00000000">
      <w:pPr>
        <w:pStyle w:val="Heading2"/>
        <w:rPr>
          <w:b/>
          <w:sz w:val="22"/>
          <w:szCs w:val="22"/>
        </w:rPr>
      </w:pPr>
      <w:bookmarkStart w:id="1" w:name="_j9pga8u8u49w" w:colFirst="0" w:colLast="0"/>
      <w:bookmarkEnd w:id="1"/>
      <w:r>
        <w:rPr>
          <w:b/>
          <w:sz w:val="22"/>
          <w:szCs w:val="22"/>
        </w:rPr>
        <w:t>Task-based activation</w:t>
      </w:r>
    </w:p>
    <w:p w14:paraId="34417DFF" w14:textId="77777777" w:rsidR="00306B8E" w:rsidRDefault="00000000">
      <w:r>
        <w:t>As of February 2024, all task-based activation maps were estimated using the Human Connectome Project task-based estimation protocols.</w:t>
      </w:r>
      <w:hyperlink r:id="rId7">
        <w:r w:rsidR="00306B8E">
          <w:rPr>
            <w:vertAlign w:val="superscript"/>
          </w:rPr>
          <w:t>5</w:t>
        </w:r>
      </w:hyperlink>
      <w:r>
        <w:t xml:space="preserve"> Contributors provided statistical maps with t-statistics for each voxel. Further processing details are included in Noble et al.</w:t>
      </w:r>
      <w:hyperlink r:id="rId8">
        <w:r w:rsidR="00306B8E">
          <w:rPr>
            <w:vertAlign w:val="superscript"/>
          </w:rPr>
          <w:t>4</w:t>
        </w:r>
      </w:hyperlink>
      <w:r>
        <w:t xml:space="preserve"> Note that the effect sizes may be sensitive to dataset-specific </w:t>
      </w:r>
      <w:proofErr w:type="spellStart"/>
      <w:r>
        <w:t>modeling</w:t>
      </w:r>
      <w:proofErr w:type="spellEnd"/>
      <w:r>
        <w:t xml:space="preserve"> strategies and acquisition parameters. Users should interpret these estimates accordingly. </w:t>
      </w:r>
    </w:p>
    <w:p w14:paraId="4F8B7DF9" w14:textId="77777777" w:rsidR="00306B8E" w:rsidRDefault="00000000">
      <w:pPr>
        <w:pStyle w:val="Heading2"/>
        <w:rPr>
          <w:b/>
          <w:sz w:val="22"/>
          <w:szCs w:val="22"/>
        </w:rPr>
      </w:pPr>
      <w:bookmarkStart w:id="2" w:name="_7dycbyh846qe" w:colFirst="0" w:colLast="0"/>
      <w:bookmarkEnd w:id="2"/>
      <w:r>
        <w:rPr>
          <w:b/>
          <w:sz w:val="22"/>
          <w:szCs w:val="22"/>
        </w:rPr>
        <w:t>Analysis</w:t>
      </w:r>
    </w:p>
    <w:p w14:paraId="356C873C" w14:textId="77777777" w:rsidR="00306B8E" w:rsidRDefault="00000000">
      <w:pPr>
        <w:rPr>
          <w:vertAlign w:val="superscript"/>
        </w:rPr>
      </w:pPr>
      <w:r>
        <w:t>A brief overview of the statistical testing and effect size estimation procedures used to produce the data ingested by the app is provided here. Further details and discussion about formalization, estimation procedures, and rationale are provided in Noble et al.</w:t>
      </w:r>
      <w:hyperlink r:id="rId9">
        <w:r w:rsidR="00306B8E">
          <w:rPr>
            <w:vertAlign w:val="superscript"/>
          </w:rPr>
          <w:t>4</w:t>
        </w:r>
      </w:hyperlink>
    </w:p>
    <w:p w14:paraId="1F8CD11B" w14:textId="77777777" w:rsidR="00306B8E" w:rsidRDefault="00306B8E"/>
    <w:p w14:paraId="783EB725" w14:textId="77777777" w:rsidR="00306B8E" w:rsidRDefault="00000000">
      <w:r>
        <w:t>Briefly, each study involved running one of three group-level statistical tests. Each test was further estimated using different motion adjustment strategies (none, regression, thresholding), two scales of inference, and either univariate or multivariate procedures as described below, resulting in multiple statistical maps per study. Finally, each statistical map was translated into two common effect size metrics.</w:t>
      </w:r>
    </w:p>
    <w:p w14:paraId="19050B71" w14:textId="77777777" w:rsidR="00306B8E" w:rsidRDefault="00000000">
      <w:pPr>
        <w:pStyle w:val="Heading3"/>
        <w:rPr>
          <w:b/>
          <w:i/>
          <w:color w:val="000000"/>
          <w:sz w:val="22"/>
          <w:szCs w:val="22"/>
        </w:rPr>
      </w:pPr>
      <w:bookmarkStart w:id="3" w:name="_ysz2bi80drr" w:colFirst="0" w:colLast="0"/>
      <w:bookmarkEnd w:id="3"/>
      <w:r>
        <w:rPr>
          <w:b/>
          <w:i/>
          <w:color w:val="000000"/>
          <w:sz w:val="22"/>
          <w:szCs w:val="22"/>
        </w:rPr>
        <w:t>Motion correction</w:t>
      </w:r>
    </w:p>
    <w:p w14:paraId="7194B169" w14:textId="77777777" w:rsidR="00306B8E" w:rsidRDefault="00000000">
      <w:r>
        <w:t>Two different methods were used to account for motion: regression and thresholding. For the former, mean framewise displacement (FD) for each subject was regressed from the brain data. For the latter, subjects with mean FD greater than 0.1 mm, or 0.2 mm, were removed from the analysis. Results from analyses without motion correction are also provided.</w:t>
      </w:r>
    </w:p>
    <w:p w14:paraId="7066EE4C" w14:textId="77777777" w:rsidR="00306B8E" w:rsidRDefault="00000000">
      <w:pPr>
        <w:pStyle w:val="Heading3"/>
        <w:rPr>
          <w:b/>
          <w:i/>
          <w:color w:val="000000"/>
          <w:sz w:val="22"/>
          <w:szCs w:val="22"/>
        </w:rPr>
      </w:pPr>
      <w:bookmarkStart w:id="4" w:name="_yohpocw1v6vw" w:colFirst="0" w:colLast="0"/>
      <w:bookmarkEnd w:id="4"/>
      <w:r>
        <w:rPr>
          <w:b/>
          <w:i/>
          <w:color w:val="000000"/>
          <w:sz w:val="22"/>
          <w:szCs w:val="22"/>
        </w:rPr>
        <w:lastRenderedPageBreak/>
        <w:t>Statistical Tests</w:t>
      </w:r>
    </w:p>
    <w:p w14:paraId="37D0BBB1" w14:textId="77777777" w:rsidR="00306B8E" w:rsidRDefault="00000000">
      <w:r>
        <w:t>The type of statistical test to be run was inferred based on the data provided, following the logic in Supplementary Figure 1. For continuous outcome variables, such as correlations (r) between functional connectivity and age, brain-</w:t>
      </w:r>
      <w:proofErr w:type="spellStart"/>
      <w:r>
        <w:t>behavior</w:t>
      </w:r>
      <w:proofErr w:type="spellEnd"/>
      <w:r>
        <w:t xml:space="preserve"> analyses were performed by correlating brain data with the outcome variable. For within-subject comparisons, such as contrasts between task and rest, paired one-sample t-tests were performed. Lastly, for between-subject comparisons, such as a contrast between male and female participants, two-sample t-tests were performed. </w:t>
      </w:r>
    </w:p>
    <w:p w14:paraId="5DBD464C" w14:textId="77777777" w:rsidR="00306B8E" w:rsidRDefault="00306B8E"/>
    <w:p w14:paraId="413EB903" w14:textId="77777777" w:rsidR="00306B8E" w:rsidRDefault="00000000">
      <w:r>
        <w:rPr>
          <w:noProof/>
        </w:rPr>
        <w:drawing>
          <wp:inline distT="114300" distB="114300" distL="114300" distR="114300" wp14:anchorId="45821108" wp14:editId="29D44536">
            <wp:extent cx="4243388" cy="2665846"/>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4243388" cy="2665846"/>
                    </a:xfrm>
                    <a:prstGeom prst="rect">
                      <a:avLst/>
                    </a:prstGeom>
                    <a:ln/>
                  </pic:spPr>
                </pic:pic>
              </a:graphicData>
            </a:graphic>
          </wp:inline>
        </w:drawing>
      </w:r>
    </w:p>
    <w:p w14:paraId="1E4C750B" w14:textId="77777777" w:rsidR="00306B8E" w:rsidRDefault="00000000">
      <w:r>
        <w:rPr>
          <w:b/>
        </w:rPr>
        <w:t>Supplementary Figure 1.</w:t>
      </w:r>
      <w:r>
        <w:t xml:space="preserve"> The type of test to run on the provided data is inferred with the following logic for each test. If the score provided is continuous, a brain-</w:t>
      </w:r>
      <w:proofErr w:type="spellStart"/>
      <w:r>
        <w:t>behavior</w:t>
      </w:r>
      <w:proofErr w:type="spellEnd"/>
      <w:r>
        <w:t xml:space="preserve"> correlation test will be run. If the score variable is not continuous, the decision to run a one-sample or two-sample t-test is inferred based on the presence of duplicate subjects (between the two subject lists when a contrast is provided, or within the subject list when a contrast is not provided). If some, but not all, subject IDs are duplicates in the subject ID list, an error message is displayed. </w:t>
      </w:r>
    </w:p>
    <w:p w14:paraId="7632EF60" w14:textId="77777777" w:rsidR="00306B8E" w:rsidRDefault="00000000">
      <w:pPr>
        <w:pStyle w:val="Heading3"/>
        <w:rPr>
          <w:b/>
          <w:i/>
          <w:color w:val="000000"/>
          <w:sz w:val="22"/>
          <w:szCs w:val="22"/>
        </w:rPr>
      </w:pPr>
      <w:bookmarkStart w:id="5" w:name="_kuucbb9r8t6a" w:colFirst="0" w:colLast="0"/>
      <w:bookmarkEnd w:id="5"/>
      <w:r>
        <w:rPr>
          <w:b/>
          <w:i/>
          <w:color w:val="000000"/>
          <w:sz w:val="22"/>
          <w:szCs w:val="22"/>
        </w:rPr>
        <w:t>Element-Level Analyses</w:t>
      </w:r>
    </w:p>
    <w:p w14:paraId="1B16218D" w14:textId="77777777" w:rsidR="00306B8E" w:rsidRDefault="00000000">
      <w:r>
        <w:t>For each test, mass univariate analyses were performed at the level of individual elements (i.e., voxels or edges).</w:t>
      </w:r>
    </w:p>
    <w:p w14:paraId="3B11D273" w14:textId="77777777" w:rsidR="00306B8E" w:rsidRDefault="00000000">
      <w:pPr>
        <w:pStyle w:val="Heading3"/>
        <w:rPr>
          <w:b/>
          <w:i/>
          <w:color w:val="000000"/>
          <w:sz w:val="22"/>
          <w:szCs w:val="22"/>
        </w:rPr>
      </w:pPr>
      <w:bookmarkStart w:id="6" w:name="_cnzdre78ula7" w:colFirst="0" w:colLast="0"/>
      <w:bookmarkEnd w:id="6"/>
      <w:r>
        <w:rPr>
          <w:b/>
          <w:i/>
          <w:color w:val="000000"/>
          <w:sz w:val="22"/>
          <w:szCs w:val="22"/>
        </w:rPr>
        <w:t>Network-Level Analysis</w:t>
      </w:r>
    </w:p>
    <w:p w14:paraId="35C35068" w14:textId="77777777" w:rsidR="00306B8E" w:rsidRDefault="00000000">
      <w:pPr>
        <w:rPr>
          <w:vertAlign w:val="superscript"/>
        </w:rPr>
      </w:pPr>
      <w:r>
        <w:t>Mass univariate tests were also conducted at the level of predefined networks. Specifically, edges were averaged within a subnetwork (10 x 9 / 2 = 45 subnetworks) of the Shen atlas (10 networks).</w:t>
      </w:r>
      <w:hyperlink r:id="rId11">
        <w:r w:rsidR="00306B8E">
          <w:rPr>
            <w:vertAlign w:val="superscript"/>
          </w:rPr>
          <w:t>1,2</w:t>
        </w:r>
      </w:hyperlink>
    </w:p>
    <w:p w14:paraId="20F07C53" w14:textId="77777777" w:rsidR="00306B8E" w:rsidRDefault="00000000">
      <w:pPr>
        <w:pStyle w:val="Heading3"/>
        <w:rPr>
          <w:b/>
          <w:i/>
          <w:color w:val="000000"/>
          <w:sz w:val="22"/>
          <w:szCs w:val="22"/>
        </w:rPr>
      </w:pPr>
      <w:bookmarkStart w:id="7" w:name="_m071f3ua5cc4" w:colFirst="0" w:colLast="0"/>
      <w:bookmarkEnd w:id="7"/>
      <w:r>
        <w:rPr>
          <w:b/>
          <w:i/>
          <w:color w:val="000000"/>
          <w:sz w:val="22"/>
          <w:szCs w:val="22"/>
        </w:rPr>
        <w:t>Multivariate Analyses</w:t>
      </w:r>
    </w:p>
    <w:p w14:paraId="44DE4E20" w14:textId="77777777" w:rsidR="00306B8E" w:rsidRDefault="00000000">
      <w:r>
        <w:t>Multivariate extensions of each univariate test were also conducted. In this context, the term multivariate is used to refer to Canonical Correlation Analysis (CCA) and Hotelling’s t</w:t>
      </w:r>
      <w:r>
        <w:rPr>
          <w:vertAlign w:val="superscript"/>
        </w:rPr>
        <w:t>2</w:t>
      </w:r>
      <w:r>
        <w:t>. Dimensionality reduction methods were applied following recommendations from Helmer et al</w:t>
      </w:r>
      <w:hyperlink r:id="rId12">
        <w:r w:rsidR="00306B8E">
          <w:rPr>
            <w:vertAlign w:val="superscript"/>
          </w:rPr>
          <w:t>6</w:t>
        </w:r>
      </w:hyperlink>
      <w:r>
        <w:t xml:space="preserve"> First, principal component analysis was performed to reduce the dimensionality of the brain data for subsequent multivariate inference, selecting the top N/50 components. Then, </w:t>
      </w:r>
      <w:r>
        <w:lastRenderedPageBreak/>
        <w:t>CCA was performed as the multivariate extension of the brain-</w:t>
      </w:r>
      <w:proofErr w:type="spellStart"/>
      <w:r>
        <w:t>behavior</w:t>
      </w:r>
      <w:proofErr w:type="spellEnd"/>
      <w:r>
        <w:t xml:space="preserve"> correlation and of two-sample t-tests, and the Hotelling t-test was performed as the multivariate extension of the one-sample t-test.</w:t>
      </w:r>
    </w:p>
    <w:p w14:paraId="1F67F087" w14:textId="77777777" w:rsidR="00306B8E" w:rsidRDefault="00000000">
      <w:pPr>
        <w:pStyle w:val="Heading3"/>
        <w:rPr>
          <w:b/>
          <w:i/>
          <w:color w:val="000000"/>
          <w:sz w:val="22"/>
          <w:szCs w:val="22"/>
        </w:rPr>
      </w:pPr>
      <w:bookmarkStart w:id="8" w:name="_lmhetcj94m1r" w:colFirst="0" w:colLast="0"/>
      <w:bookmarkEnd w:id="8"/>
      <w:r>
        <w:rPr>
          <w:b/>
          <w:i/>
          <w:color w:val="000000"/>
          <w:sz w:val="22"/>
          <w:szCs w:val="22"/>
        </w:rPr>
        <w:t>Effect size estimation</w:t>
      </w:r>
    </w:p>
    <w:p w14:paraId="718328C8" w14:textId="77777777" w:rsidR="00306B8E" w:rsidRDefault="00000000">
      <w:r>
        <w:t xml:space="preserve">The results of each study were converted to two effect size measures commonly used in the </w:t>
      </w:r>
    </w:p>
    <w:p w14:paraId="4FC07445" w14:textId="77777777" w:rsidR="00306B8E" w:rsidRDefault="00000000">
      <w:pPr>
        <w:rPr>
          <w:vertAlign w:val="superscript"/>
        </w:rPr>
      </w:pPr>
      <w:r>
        <w:t>field: R</w:t>
      </w:r>
      <w:r>
        <w:rPr>
          <w:vertAlign w:val="superscript"/>
        </w:rPr>
        <w:t>2</w:t>
      </w:r>
      <w:r>
        <w:t xml:space="preserve"> and Cohen’s d. Theoretical details are provided in greater detail in Noble et al.,</w:t>
      </w:r>
      <w:hyperlink r:id="rId13">
        <w:r w:rsidR="00306B8E">
          <w:rPr>
            <w:vertAlign w:val="superscript"/>
          </w:rPr>
          <w:t>4</w:t>
        </w:r>
      </w:hyperlink>
      <w:r>
        <w:t xml:space="preserve"> but here we provide an overview in brief, as well as key equations (Supplementary Table 1). Cohen’s d reflects standardized differences between groups or from the intercept, and R</w:t>
      </w:r>
      <w:r>
        <w:rPr>
          <w:vertAlign w:val="superscript"/>
        </w:rPr>
        <w:t>2</w:t>
      </w:r>
      <w:r>
        <w:t>, calculated only from t2 and r statistics, reflects proportions of variance in the outcome explained by the predictor.</w:t>
      </w:r>
      <w:hyperlink r:id="rId14">
        <w:r w:rsidR="00306B8E">
          <w:rPr>
            <w:vertAlign w:val="superscript"/>
          </w:rPr>
          <w:t>7</w:t>
        </w:r>
      </w:hyperlink>
    </w:p>
    <w:p w14:paraId="25395F66" w14:textId="77777777" w:rsidR="00306B8E" w:rsidRDefault="00306B8E"/>
    <w:p w14:paraId="0B52ED8F" w14:textId="77777777" w:rsidR="003F76BF" w:rsidRDefault="003F76BF" w:rsidP="003F76BF">
      <w:r>
        <w:rPr>
          <w:b/>
        </w:rPr>
        <w:t>Supplementary Table 1.</w:t>
      </w:r>
      <w:r>
        <w:t xml:space="preserve"> Effect size conversions for one-sample t-tests, two-sample t-tests, and correlations. </w:t>
      </w:r>
    </w:p>
    <w:p w14:paraId="0A05607A" w14:textId="77777777" w:rsidR="003F76BF" w:rsidRDefault="003F76BF"/>
    <w:tbl>
      <w:tblPr>
        <w:tblStyle w:val="a"/>
        <w:tblW w:w="9029" w:type="dxa"/>
        <w:tblInd w:w="0" w:type="dxa"/>
        <w:tblBorders>
          <w:insideH w:val="single" w:sz="2" w:space="0" w:color="000000" w:themeColor="text1"/>
        </w:tblBorders>
        <w:tblLayout w:type="fixed"/>
        <w:tblLook w:val="0600" w:firstRow="0" w:lastRow="0" w:firstColumn="0" w:lastColumn="0" w:noHBand="1" w:noVBand="1"/>
      </w:tblPr>
      <w:tblGrid>
        <w:gridCol w:w="3009"/>
        <w:gridCol w:w="3010"/>
        <w:gridCol w:w="3010"/>
      </w:tblGrid>
      <w:tr w:rsidR="00306B8E" w14:paraId="0641BFC4" w14:textId="77777777" w:rsidTr="003F76BF">
        <w:tc>
          <w:tcPr>
            <w:tcW w:w="3009" w:type="dxa"/>
            <w:tcBorders>
              <w:top w:val="single" w:sz="12" w:space="0" w:color="000000" w:themeColor="text1"/>
              <w:bottom w:val="single" w:sz="12" w:space="0" w:color="000000" w:themeColor="text1"/>
            </w:tcBorders>
            <w:shd w:val="clear" w:color="auto" w:fill="FFFFFF" w:themeFill="background1"/>
            <w:tcMar>
              <w:top w:w="100" w:type="dxa"/>
              <w:left w:w="100" w:type="dxa"/>
              <w:bottom w:w="100" w:type="dxa"/>
              <w:right w:w="100" w:type="dxa"/>
            </w:tcMar>
            <w:vAlign w:val="bottom"/>
          </w:tcPr>
          <w:p w14:paraId="250D87D9" w14:textId="77777777" w:rsidR="00306B8E" w:rsidRDefault="00000000">
            <w:pPr>
              <w:widowControl w:val="0"/>
              <w:spacing w:line="240" w:lineRule="auto"/>
              <w:rPr>
                <w:b/>
              </w:rPr>
            </w:pPr>
            <w:r>
              <w:rPr>
                <w:b/>
              </w:rPr>
              <w:t>Test type</w:t>
            </w:r>
          </w:p>
        </w:tc>
        <w:tc>
          <w:tcPr>
            <w:tcW w:w="3009" w:type="dxa"/>
            <w:tcBorders>
              <w:top w:val="single" w:sz="12" w:space="0" w:color="000000" w:themeColor="text1"/>
              <w:bottom w:val="single" w:sz="12" w:space="0" w:color="000000" w:themeColor="text1"/>
            </w:tcBorders>
            <w:shd w:val="clear" w:color="auto" w:fill="FFFFFF" w:themeFill="background1"/>
            <w:tcMar>
              <w:top w:w="100" w:type="dxa"/>
              <w:left w:w="100" w:type="dxa"/>
              <w:bottom w:w="100" w:type="dxa"/>
              <w:right w:w="100" w:type="dxa"/>
            </w:tcMar>
            <w:vAlign w:val="bottom"/>
          </w:tcPr>
          <w:p w14:paraId="132167BA" w14:textId="77777777" w:rsidR="00306B8E" w:rsidRDefault="00000000">
            <w:pPr>
              <w:widowControl w:val="0"/>
              <w:spacing w:line="240" w:lineRule="auto"/>
              <w:rPr>
                <w:b/>
              </w:rPr>
            </w:pPr>
            <w:r>
              <w:rPr>
                <w:b/>
              </w:rPr>
              <w:t>Cohen’s d</w:t>
            </w:r>
          </w:p>
        </w:tc>
        <w:tc>
          <w:tcPr>
            <w:tcW w:w="3009" w:type="dxa"/>
            <w:tcBorders>
              <w:top w:val="single" w:sz="12" w:space="0" w:color="000000" w:themeColor="text1"/>
              <w:bottom w:val="single" w:sz="12" w:space="0" w:color="000000" w:themeColor="text1"/>
            </w:tcBorders>
            <w:shd w:val="clear" w:color="auto" w:fill="FFFFFF" w:themeFill="background1"/>
            <w:tcMar>
              <w:top w:w="100" w:type="dxa"/>
              <w:left w:w="100" w:type="dxa"/>
              <w:bottom w:w="100" w:type="dxa"/>
              <w:right w:w="100" w:type="dxa"/>
            </w:tcMar>
            <w:vAlign w:val="bottom"/>
          </w:tcPr>
          <w:p w14:paraId="03950086" w14:textId="77777777" w:rsidR="00306B8E" w:rsidRDefault="00000000">
            <w:pPr>
              <w:widowControl w:val="0"/>
              <w:spacing w:line="240" w:lineRule="auto"/>
              <w:rPr>
                <w:b/>
              </w:rPr>
            </w:pPr>
            <w:r>
              <w:rPr>
                <w:b/>
              </w:rPr>
              <w:t>R</w:t>
            </w:r>
            <w:r>
              <w:rPr>
                <w:b/>
                <w:vertAlign w:val="superscript"/>
              </w:rPr>
              <w:t>2</w:t>
            </w:r>
          </w:p>
        </w:tc>
      </w:tr>
      <w:tr w:rsidR="00306B8E" w14:paraId="26329607" w14:textId="77777777" w:rsidTr="003F76BF">
        <w:tc>
          <w:tcPr>
            <w:tcW w:w="3009" w:type="dxa"/>
            <w:tcBorders>
              <w:top w:val="single" w:sz="12" w:space="0" w:color="000000" w:themeColor="text1"/>
            </w:tcBorders>
            <w:tcMar>
              <w:top w:w="100" w:type="dxa"/>
              <w:left w:w="100" w:type="dxa"/>
              <w:bottom w:w="100" w:type="dxa"/>
              <w:right w:w="100" w:type="dxa"/>
            </w:tcMar>
          </w:tcPr>
          <w:p w14:paraId="236686B1" w14:textId="77777777" w:rsidR="00306B8E" w:rsidRDefault="00000000">
            <w:r>
              <w:t>One-sample t-test</w:t>
            </w:r>
          </w:p>
        </w:tc>
        <w:tc>
          <w:tcPr>
            <w:tcW w:w="3009" w:type="dxa"/>
            <w:tcBorders>
              <w:top w:val="single" w:sz="12" w:space="0" w:color="000000" w:themeColor="text1"/>
            </w:tcBorders>
            <w:tcMar>
              <w:top w:w="100" w:type="dxa"/>
              <w:left w:w="100" w:type="dxa"/>
              <w:bottom w:w="100" w:type="dxa"/>
              <w:right w:w="100" w:type="dxa"/>
            </w:tcMar>
          </w:tcPr>
          <w:p w14:paraId="2F49E887" w14:textId="77777777" w:rsidR="00306B8E" w:rsidRDefault="00000000">
            <m:oMathPara>
              <m:oMath>
                <m:sSub>
                  <m:sSubPr>
                    <m:ctrlPr>
                      <w:rPr>
                        <w:rFonts w:ascii="Cambria Math" w:hAnsi="Cambria Math"/>
                      </w:rPr>
                    </m:ctrlPr>
                  </m:sSubPr>
                  <m:e>
                    <m:r>
                      <w:rPr>
                        <w:rFonts w:ascii="Cambria Math" w:hAnsi="Cambria Math"/>
                      </w:rPr>
                      <m:t>d</m:t>
                    </m:r>
                  </m:e>
                  <m:sub>
                    <m:r>
                      <w:rPr>
                        <w:rFonts w:ascii="Cambria Math" w:hAnsi="Cambria Math"/>
                      </w:rPr>
                      <m:t>s</m:t>
                    </m:r>
                  </m:sub>
                </m:sSub>
                <m:r>
                  <w:rPr>
                    <w:rFonts w:ascii="Cambria Math" w:hAnsi="Cambria Math"/>
                  </w:rPr>
                  <m:t>=</m:t>
                </m:r>
                <m:f>
                  <m:fPr>
                    <m:ctrlPr>
                      <w:rPr>
                        <w:rFonts w:ascii="Cambria Math" w:hAnsi="Cambria Math"/>
                      </w:rPr>
                    </m:ctrlPr>
                  </m:fPr>
                  <m:num>
                    <m:r>
                      <w:rPr>
                        <w:rFonts w:ascii="Cambria Math" w:hAnsi="Cambria Math"/>
                      </w:rPr>
                      <m:t>t</m:t>
                    </m:r>
                  </m:num>
                  <m:den>
                    <m:rad>
                      <m:radPr>
                        <m:degHide m:val="1"/>
                        <m:ctrlPr>
                          <w:rPr>
                            <w:rFonts w:ascii="Cambria Math" w:hAnsi="Cambria Math"/>
                          </w:rPr>
                        </m:ctrlPr>
                      </m:radPr>
                      <m:deg/>
                      <m:e>
                        <m:r>
                          <w:rPr>
                            <w:rFonts w:ascii="Cambria Math" w:hAnsi="Cambria Math"/>
                          </w:rPr>
                          <m:t>n</m:t>
                        </m:r>
                      </m:e>
                    </m:rad>
                  </m:den>
                </m:f>
              </m:oMath>
            </m:oMathPara>
          </w:p>
        </w:tc>
        <w:tc>
          <w:tcPr>
            <w:tcW w:w="3009" w:type="dxa"/>
            <w:tcBorders>
              <w:top w:val="single" w:sz="12" w:space="0" w:color="000000" w:themeColor="text1"/>
            </w:tcBorders>
            <w:tcMar>
              <w:top w:w="100" w:type="dxa"/>
              <w:left w:w="100" w:type="dxa"/>
              <w:bottom w:w="100" w:type="dxa"/>
              <w:right w:w="100" w:type="dxa"/>
            </w:tcMar>
          </w:tcPr>
          <w:p w14:paraId="416A4DAC" w14:textId="77777777" w:rsidR="00306B8E" w:rsidRDefault="00000000">
            <w:r>
              <w:t>N/A</w:t>
            </w:r>
          </w:p>
        </w:tc>
      </w:tr>
      <w:tr w:rsidR="00306B8E" w14:paraId="2391BC19" w14:textId="77777777" w:rsidTr="003F76BF">
        <w:tc>
          <w:tcPr>
            <w:tcW w:w="3009" w:type="dxa"/>
            <w:tcBorders>
              <w:bottom w:val="single" w:sz="2" w:space="0" w:color="000000" w:themeColor="text1"/>
            </w:tcBorders>
            <w:tcMar>
              <w:top w:w="100" w:type="dxa"/>
              <w:left w:w="100" w:type="dxa"/>
              <w:bottom w:w="100" w:type="dxa"/>
              <w:right w:w="100" w:type="dxa"/>
            </w:tcMar>
          </w:tcPr>
          <w:p w14:paraId="7DB25C83" w14:textId="77777777" w:rsidR="00306B8E" w:rsidRDefault="00000000">
            <w:r>
              <w:t>Two-sample t-test</w:t>
            </w:r>
          </w:p>
        </w:tc>
        <w:tc>
          <w:tcPr>
            <w:tcW w:w="3009" w:type="dxa"/>
            <w:tcBorders>
              <w:bottom w:val="single" w:sz="2" w:space="0" w:color="000000" w:themeColor="text1"/>
            </w:tcBorders>
            <w:tcMar>
              <w:top w:w="100" w:type="dxa"/>
              <w:left w:w="100" w:type="dxa"/>
              <w:bottom w:w="100" w:type="dxa"/>
              <w:right w:w="100" w:type="dxa"/>
            </w:tcMar>
          </w:tcPr>
          <w:p w14:paraId="3E9402DA" w14:textId="77777777" w:rsidR="00306B8E" w:rsidRDefault="00000000">
            <m:oMathPara>
              <m:oMath>
                <m:sSub>
                  <m:sSubPr>
                    <m:ctrlPr>
                      <w:rPr>
                        <w:rFonts w:ascii="Cambria Math" w:hAnsi="Cambria Math"/>
                      </w:rPr>
                    </m:ctrlPr>
                  </m:sSubPr>
                  <m:e>
                    <m:r>
                      <w:rPr>
                        <w:rFonts w:ascii="Cambria Math" w:hAnsi="Cambria Math"/>
                      </w:rPr>
                      <m:t>d</m:t>
                    </m:r>
                  </m:e>
                  <m:sub>
                    <m:r>
                      <w:rPr>
                        <w:rFonts w:ascii="Cambria Math" w:hAnsi="Cambria Math"/>
                      </w:rPr>
                      <m:t>s</m:t>
                    </m:r>
                  </m:sub>
                </m:sSub>
                <m:r>
                  <w:rPr>
                    <w:rFonts w:ascii="Cambria Math" w:hAnsi="Cambria Math"/>
                  </w:rPr>
                  <m:t>=t</m:t>
                </m:r>
                <m:rad>
                  <m:radPr>
                    <m:degHide m:val="1"/>
                    <m:ctrlPr>
                      <w:rPr>
                        <w:rFonts w:ascii="Cambria Math" w:hAnsi="Cambria Math"/>
                      </w:rPr>
                    </m:ctrlPr>
                  </m:radPr>
                  <m:deg/>
                  <m:e>
                    <m:d>
                      <m:dPr>
                        <m:ctrlPr>
                          <w:rPr>
                            <w:rFonts w:ascii="Cambria Math" w:hAnsi="Cambria Math"/>
                          </w:rPr>
                        </m:ctrlPr>
                      </m:dPr>
                      <m:e>
                        <m:f>
                          <m:fPr>
                            <m:ctrlPr>
                              <w:rPr>
                                <w:rFonts w:ascii="Cambria Math" w:hAnsi="Cambria Math"/>
                              </w:rPr>
                            </m:ctrlPr>
                          </m:fPr>
                          <m:num>
                            <m:r>
                              <w:rPr>
                                <w:rFonts w:ascii="Cambria Math" w:hAnsi="Cambria Math"/>
                              </w:rPr>
                              <m:t>1</m:t>
                            </m:r>
                          </m:num>
                          <m:den>
                            <m:sSub>
                              <m:sSubPr>
                                <m:ctrlPr>
                                  <w:rPr>
                                    <w:rFonts w:ascii="Cambria Math" w:hAnsi="Cambria Math"/>
                                  </w:rPr>
                                </m:ctrlPr>
                              </m:sSubPr>
                              <m:e>
                                <m:r>
                                  <w:rPr>
                                    <w:rFonts w:ascii="Cambria Math" w:hAnsi="Cambria Math"/>
                                  </w:rPr>
                                  <m:t>n</m:t>
                                </m:r>
                              </m:e>
                              <m:sub>
                                <m:r>
                                  <w:rPr>
                                    <w:rFonts w:ascii="Cambria Math" w:hAnsi="Cambria Math"/>
                                  </w:rPr>
                                  <m:t>1</m:t>
                                </m:r>
                              </m:sub>
                            </m:sSub>
                          </m:den>
                        </m:f>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rPr>
                                </m:ctrlPr>
                              </m:sSubPr>
                              <m:e>
                                <m:r>
                                  <w:rPr>
                                    <w:rFonts w:ascii="Cambria Math" w:hAnsi="Cambria Math"/>
                                  </w:rPr>
                                  <m:t>n</m:t>
                                </m:r>
                              </m:e>
                              <m:sub>
                                <m:r>
                                  <w:rPr>
                                    <w:rFonts w:ascii="Cambria Math" w:hAnsi="Cambria Math"/>
                                  </w:rPr>
                                  <m:t>2</m:t>
                                </m:r>
                              </m:sub>
                            </m:sSub>
                          </m:den>
                        </m:f>
                      </m:e>
                    </m:d>
                  </m:e>
                </m:rad>
              </m:oMath>
            </m:oMathPara>
          </w:p>
        </w:tc>
        <w:tc>
          <w:tcPr>
            <w:tcW w:w="3009" w:type="dxa"/>
            <w:tcBorders>
              <w:bottom w:val="single" w:sz="2" w:space="0" w:color="000000" w:themeColor="text1"/>
            </w:tcBorders>
            <w:tcMar>
              <w:top w:w="100" w:type="dxa"/>
              <w:left w:w="100" w:type="dxa"/>
              <w:bottom w:w="100" w:type="dxa"/>
              <w:right w:w="100" w:type="dxa"/>
            </w:tcMar>
          </w:tcPr>
          <w:p w14:paraId="4F3E4960" w14:textId="77777777" w:rsidR="00306B8E" w:rsidRDefault="00000000">
            <m:oMathPara>
              <m:oMath>
                <m:sSup>
                  <m:sSupPr>
                    <m:ctrlPr>
                      <w:rPr>
                        <w:rFonts w:ascii="Cambria Math" w:hAnsi="Cambria Math"/>
                      </w:rPr>
                    </m:ctrlPr>
                  </m:sSupPr>
                  <m:e>
                    <m:r>
                      <w:rPr>
                        <w:rFonts w:ascii="Cambria Math" w:hAnsi="Cambria Math"/>
                      </w:rPr>
                      <m:t>R</m:t>
                    </m:r>
                  </m:e>
                  <m:sup>
                    <m:r>
                      <w:rPr>
                        <w:rFonts w:ascii="Cambria Math" w:hAnsi="Cambria Math"/>
                      </w:rPr>
                      <m:t>2</m:t>
                    </m:r>
                  </m:sup>
                </m:sSup>
                <m: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t</m:t>
                        </m:r>
                      </m:e>
                      <m:sup>
                        <m:r>
                          <w:rPr>
                            <w:rFonts w:ascii="Cambria Math" w:hAnsi="Cambria Math"/>
                          </w:rPr>
                          <m:t>2</m:t>
                        </m:r>
                      </m:sup>
                    </m:sSup>
                  </m:num>
                  <m:den>
                    <m:sSup>
                      <m:sSupPr>
                        <m:ctrlPr>
                          <w:rPr>
                            <w:rFonts w:ascii="Cambria Math" w:hAnsi="Cambria Math"/>
                          </w:rPr>
                        </m:ctrlPr>
                      </m:sSupPr>
                      <m:e>
                        <m:r>
                          <w:rPr>
                            <w:rFonts w:ascii="Cambria Math" w:hAnsi="Cambria Math"/>
                          </w:rPr>
                          <m:t>t</m:t>
                        </m:r>
                      </m:e>
                      <m:sup>
                        <m:r>
                          <w:rPr>
                            <w:rFonts w:ascii="Cambria Math" w:hAnsi="Cambria Math"/>
                          </w:rPr>
                          <m:t>2</m:t>
                        </m:r>
                      </m:sup>
                    </m:sSup>
                    <m:r>
                      <w:rPr>
                        <w:rFonts w:ascii="Cambria Math" w:hAnsi="Cambria Math"/>
                      </w:rPr>
                      <m:t>+</m:t>
                    </m:r>
                    <m:d>
                      <m:dPr>
                        <m:ctrlPr>
                          <w:rPr>
                            <w:rFonts w:ascii="Cambria Math" w:hAnsi="Cambria Math"/>
                          </w:rPr>
                        </m:ctrlPr>
                      </m:dPr>
                      <m:e>
                        <m:r>
                          <w:rPr>
                            <w:rFonts w:ascii="Cambria Math" w:hAnsi="Cambria Math"/>
                          </w:rPr>
                          <m:t>n-2</m:t>
                        </m:r>
                      </m:e>
                    </m:d>
                  </m:den>
                </m:f>
              </m:oMath>
            </m:oMathPara>
          </w:p>
        </w:tc>
      </w:tr>
      <w:tr w:rsidR="00306B8E" w14:paraId="1884FD6E" w14:textId="77777777" w:rsidTr="003F76BF">
        <w:tc>
          <w:tcPr>
            <w:tcW w:w="3009" w:type="dxa"/>
            <w:tcBorders>
              <w:top w:val="single" w:sz="2" w:space="0" w:color="000000" w:themeColor="text1"/>
              <w:bottom w:val="single" w:sz="2" w:space="0" w:color="000000" w:themeColor="text1"/>
            </w:tcBorders>
            <w:tcMar>
              <w:top w:w="100" w:type="dxa"/>
              <w:left w:w="100" w:type="dxa"/>
              <w:bottom w:w="100" w:type="dxa"/>
              <w:right w:w="100" w:type="dxa"/>
            </w:tcMar>
          </w:tcPr>
          <w:p w14:paraId="28E9C4DA" w14:textId="77777777" w:rsidR="00306B8E" w:rsidRDefault="00000000">
            <w:r>
              <w:t>Correlation</w:t>
            </w:r>
          </w:p>
        </w:tc>
        <w:tc>
          <w:tcPr>
            <w:tcW w:w="3009" w:type="dxa"/>
            <w:tcBorders>
              <w:top w:val="single" w:sz="2" w:space="0" w:color="000000" w:themeColor="text1"/>
              <w:bottom w:val="single" w:sz="2" w:space="0" w:color="000000" w:themeColor="text1"/>
            </w:tcBorders>
            <w:tcMar>
              <w:top w:w="100" w:type="dxa"/>
              <w:left w:w="100" w:type="dxa"/>
              <w:bottom w:w="100" w:type="dxa"/>
              <w:right w:w="100" w:type="dxa"/>
            </w:tcMar>
          </w:tcPr>
          <w:p w14:paraId="2B31BAC2" w14:textId="77777777" w:rsidR="00306B8E" w:rsidRDefault="00000000">
            <m:oMathPara>
              <m:oMath>
                <m:sSub>
                  <m:sSubPr>
                    <m:ctrlPr>
                      <w:rPr>
                        <w:rFonts w:ascii="Cambria Math" w:hAnsi="Cambria Math"/>
                      </w:rPr>
                    </m:ctrlPr>
                  </m:sSubPr>
                  <m:e>
                    <m:r>
                      <w:rPr>
                        <w:rFonts w:ascii="Cambria Math" w:hAnsi="Cambria Math"/>
                      </w:rPr>
                      <m:t>d</m:t>
                    </m:r>
                  </m:e>
                  <m:sub>
                    <m:r>
                      <w:rPr>
                        <w:rFonts w:ascii="Cambria Math" w:hAnsi="Cambria Math"/>
                      </w:rPr>
                      <m:t>s</m:t>
                    </m:r>
                  </m:sub>
                </m:sSub>
                <m:r>
                  <w:rPr>
                    <w:rFonts w:ascii="Cambria Math" w:hAnsi="Cambria Math"/>
                  </w:rPr>
                  <m:t>=</m:t>
                </m:r>
                <m:f>
                  <m:fPr>
                    <m:ctrlPr>
                      <w:rPr>
                        <w:rFonts w:ascii="Cambria Math" w:hAnsi="Cambria Math"/>
                      </w:rPr>
                    </m:ctrlPr>
                  </m:fPr>
                  <m:num>
                    <m:r>
                      <w:rPr>
                        <w:rFonts w:ascii="Cambria Math" w:hAnsi="Cambria Math"/>
                      </w:rPr>
                      <m:t>r</m:t>
                    </m:r>
                  </m:num>
                  <m:den>
                    <m:rad>
                      <m:radPr>
                        <m:degHide m:val="1"/>
                        <m:ctrlPr>
                          <w:rPr>
                            <w:rFonts w:ascii="Cambria Math" w:hAnsi="Cambria Math"/>
                          </w:rPr>
                        </m:ctrlPr>
                      </m:radPr>
                      <m:deg/>
                      <m:e>
                        <m:d>
                          <m:dPr>
                            <m:ctrlPr>
                              <w:rPr>
                                <w:rFonts w:ascii="Cambria Math" w:hAnsi="Cambria Math"/>
                              </w:rPr>
                            </m:ctrlPr>
                          </m:dPr>
                          <m:e>
                            <m:r>
                              <w:rPr>
                                <w:rFonts w:ascii="Cambria Math" w:hAnsi="Cambria Math"/>
                              </w:rPr>
                              <m:t>1-</m:t>
                            </m:r>
                            <m:sSup>
                              <m:sSupPr>
                                <m:ctrlPr>
                                  <w:rPr>
                                    <w:rFonts w:ascii="Cambria Math" w:hAnsi="Cambria Math"/>
                                  </w:rPr>
                                </m:ctrlPr>
                              </m:sSupPr>
                              <m:e>
                                <m:r>
                                  <w:rPr>
                                    <w:rFonts w:ascii="Cambria Math" w:hAnsi="Cambria Math"/>
                                  </w:rPr>
                                  <m:t>r</m:t>
                                </m:r>
                              </m:e>
                              <m:sup>
                                <m:r>
                                  <w:rPr>
                                    <w:rFonts w:ascii="Cambria Math" w:hAnsi="Cambria Math"/>
                                  </w:rPr>
                                  <m:t>2</m:t>
                                </m:r>
                              </m:sup>
                            </m:sSup>
                          </m:e>
                        </m:d>
                      </m:e>
                    </m:rad>
                  </m:den>
                </m:f>
              </m:oMath>
            </m:oMathPara>
          </w:p>
        </w:tc>
        <w:tc>
          <w:tcPr>
            <w:tcW w:w="3009" w:type="dxa"/>
            <w:tcBorders>
              <w:top w:val="single" w:sz="2" w:space="0" w:color="000000" w:themeColor="text1"/>
              <w:bottom w:val="single" w:sz="2" w:space="0" w:color="000000" w:themeColor="text1"/>
            </w:tcBorders>
            <w:tcMar>
              <w:top w:w="100" w:type="dxa"/>
              <w:left w:w="100" w:type="dxa"/>
              <w:bottom w:w="100" w:type="dxa"/>
              <w:right w:w="100" w:type="dxa"/>
            </w:tcMar>
          </w:tcPr>
          <w:p w14:paraId="2DD67CF8" w14:textId="77777777" w:rsidR="00306B8E" w:rsidRDefault="00000000">
            <m:oMathPara>
              <m:oMath>
                <m:sSup>
                  <m:sSupPr>
                    <m:ctrlPr>
                      <w:rPr>
                        <w:rFonts w:ascii="Cambria Math" w:hAnsi="Cambria Math"/>
                      </w:rPr>
                    </m:ctrlPr>
                  </m:sSupPr>
                  <m:e>
                    <m:r>
                      <w:rPr>
                        <w:rFonts w:ascii="Cambria Math" w:hAnsi="Cambria Math"/>
                      </w:rPr>
                      <m:t>R</m:t>
                    </m:r>
                  </m:e>
                  <m:sup>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r</m:t>
                    </m:r>
                  </m:e>
                  <m:sup>
                    <m:r>
                      <w:rPr>
                        <w:rFonts w:ascii="Cambria Math" w:hAnsi="Cambria Math"/>
                      </w:rPr>
                      <m:t>2</m:t>
                    </m:r>
                  </m:sup>
                </m:sSup>
              </m:oMath>
            </m:oMathPara>
          </w:p>
        </w:tc>
      </w:tr>
    </w:tbl>
    <w:p w14:paraId="6C94E12F" w14:textId="77777777" w:rsidR="00306B8E" w:rsidRDefault="00306B8E"/>
    <w:p w14:paraId="268FADC1" w14:textId="77777777" w:rsidR="00306B8E" w:rsidRDefault="00000000">
      <w:r>
        <w:t xml:space="preserve">To estimate confidence for each element-level or network-level estimate of Cohen’s d, 95% simultaneous confidence intervals were estimated for each study. This method accounts for the estimation of multiple confidence intervals by correcting alpha (probability of type 1 error) across all elements. We conservatively applied Bonferroni correction to adjust alpha according to the number of confidence intervals being estimated </w:t>
      </w:r>
      <w:proofErr w:type="gramStart"/>
      <w:r>
        <w:t>in a given</w:t>
      </w:r>
      <w:proofErr w:type="gramEnd"/>
      <w:r>
        <w:t xml:space="preserve"> study (i.e., the number of edges, voxels, or networks if pooled). </w:t>
      </w:r>
    </w:p>
    <w:p w14:paraId="71098B52" w14:textId="77777777" w:rsidR="00306B8E" w:rsidRDefault="00000000">
      <w:pPr>
        <w:pStyle w:val="Heading3"/>
        <w:rPr>
          <w:b/>
          <w:i/>
          <w:color w:val="000000"/>
          <w:sz w:val="22"/>
          <w:szCs w:val="22"/>
        </w:rPr>
      </w:pPr>
      <w:bookmarkStart w:id="9" w:name="_o1pt3n2zzfl1" w:colFirst="0" w:colLast="0"/>
      <w:bookmarkEnd w:id="9"/>
      <w:r>
        <w:rPr>
          <w:b/>
          <w:i/>
          <w:color w:val="000000"/>
          <w:sz w:val="22"/>
          <w:szCs w:val="22"/>
        </w:rPr>
        <w:t>Meta-Analysis</w:t>
      </w:r>
    </w:p>
    <w:p w14:paraId="1632AA33" w14:textId="77777777" w:rsidR="00306B8E" w:rsidRDefault="00000000">
      <w:r>
        <w:t>The</w:t>
      </w:r>
      <w:r>
        <w:rPr>
          <w:i/>
        </w:rPr>
        <w:t xml:space="preserve"> </w:t>
      </w:r>
      <w:proofErr w:type="spellStart"/>
      <w:r>
        <w:rPr>
          <w:i/>
        </w:rPr>
        <w:t>rma.uni</w:t>
      </w:r>
      <w:proofErr w:type="spellEnd"/>
      <w:r>
        <w:t xml:space="preserve"> function in the R package </w:t>
      </w:r>
      <w:r>
        <w:rPr>
          <w:i/>
        </w:rPr>
        <w:t>metafor</w:t>
      </w:r>
      <w:hyperlink r:id="rId15">
        <w:r w:rsidR="00306B8E">
          <w:rPr>
            <w:vertAlign w:val="superscript"/>
          </w:rPr>
          <w:t>8</w:t>
        </w:r>
      </w:hyperlink>
      <w:r>
        <w:t xml:space="preserve"> was used for mass univariate meta-analysis of effect sizes at each voxel, edge, network, or multivariate measure. Studies were nested by dataset within each category to account for dependence between studies within a dataset. More details about this analysis are available in Noble et al.</w:t>
      </w:r>
      <w:hyperlink r:id="rId16">
        <w:r w:rsidR="00306B8E">
          <w:rPr>
            <w:vertAlign w:val="superscript"/>
          </w:rPr>
          <w:t>4</w:t>
        </w:r>
      </w:hyperlink>
      <w:r>
        <w:t xml:space="preserve"> </w:t>
      </w:r>
    </w:p>
    <w:p w14:paraId="30B81F19" w14:textId="77777777" w:rsidR="00306B8E" w:rsidRDefault="00306B8E"/>
    <w:p w14:paraId="228DE13E" w14:textId="77777777" w:rsidR="00306B8E" w:rsidRDefault="00306B8E"/>
    <w:p w14:paraId="3806D53A" w14:textId="77777777" w:rsidR="00306B8E" w:rsidRDefault="00306B8E"/>
    <w:p w14:paraId="792ED368" w14:textId="77777777" w:rsidR="00306B8E" w:rsidRDefault="00306B8E"/>
    <w:p w14:paraId="768CC421" w14:textId="77777777" w:rsidR="003F76BF" w:rsidRDefault="003F76BF"/>
    <w:p w14:paraId="1471259C" w14:textId="77777777" w:rsidR="00306B8E" w:rsidRDefault="00306B8E"/>
    <w:p w14:paraId="53BC89A4" w14:textId="77777777" w:rsidR="00306B8E" w:rsidRDefault="00306B8E"/>
    <w:p w14:paraId="02F94CB9" w14:textId="77777777" w:rsidR="00306B8E" w:rsidRDefault="00306B8E">
      <w:pPr>
        <w:spacing w:after="240" w:line="240" w:lineRule="auto"/>
        <w:ind w:left="264"/>
      </w:pPr>
      <w:hyperlink r:id="rId17">
        <w:r>
          <w:t>1.</w:t>
        </w:r>
      </w:hyperlink>
      <w:r w:rsidR="00000000">
        <w:tab/>
      </w:r>
      <w:hyperlink r:id="rId18">
        <w:r>
          <w:t xml:space="preserve">Noble S, Spann MN, </w:t>
        </w:r>
        <w:proofErr w:type="spellStart"/>
        <w:r>
          <w:t>Tokoglu</w:t>
        </w:r>
        <w:proofErr w:type="spellEnd"/>
        <w:r>
          <w:t xml:space="preserve"> F, Shen X, Constable RT, Scheinost D. Influences on the Test–Retest Reliability of Functional Connectivity MRI and its Relationship with </w:t>
        </w:r>
        <w:proofErr w:type="spellStart"/>
        <w:r>
          <w:t>Behavioral</w:t>
        </w:r>
        <w:proofErr w:type="spellEnd"/>
        <w:r>
          <w:t xml:space="preserve"> Utility. </w:t>
        </w:r>
      </w:hyperlink>
      <w:hyperlink r:id="rId19">
        <w:proofErr w:type="spellStart"/>
        <w:r>
          <w:rPr>
            <w:i/>
          </w:rPr>
          <w:t>Cereb</w:t>
        </w:r>
        <w:proofErr w:type="spellEnd"/>
        <w:r>
          <w:rPr>
            <w:i/>
          </w:rPr>
          <w:t xml:space="preserve"> Cortex N Y NY</w:t>
        </w:r>
      </w:hyperlink>
      <w:hyperlink r:id="rId20">
        <w:r>
          <w:t>. 2017;27(11):5415-5429. doi:10.1093/</w:t>
        </w:r>
        <w:proofErr w:type="spellStart"/>
        <w:r>
          <w:t>cercor</w:t>
        </w:r>
        <w:proofErr w:type="spellEnd"/>
        <w:r>
          <w:t xml:space="preserve">/bhx230 </w:t>
        </w:r>
      </w:hyperlink>
    </w:p>
    <w:p w14:paraId="3100F727" w14:textId="77777777" w:rsidR="00306B8E" w:rsidRDefault="00306B8E">
      <w:pPr>
        <w:spacing w:after="240" w:line="240" w:lineRule="auto"/>
        <w:ind w:left="264"/>
      </w:pPr>
      <w:hyperlink r:id="rId21">
        <w:r>
          <w:t>2.</w:t>
        </w:r>
      </w:hyperlink>
      <w:r w:rsidR="00000000">
        <w:tab/>
      </w:r>
      <w:hyperlink r:id="rId22">
        <w:r>
          <w:t xml:space="preserve">Shen X, </w:t>
        </w:r>
        <w:proofErr w:type="spellStart"/>
        <w:r>
          <w:t>Tokoglu</w:t>
        </w:r>
        <w:proofErr w:type="spellEnd"/>
        <w:r>
          <w:t xml:space="preserve"> F, </w:t>
        </w:r>
        <w:proofErr w:type="spellStart"/>
        <w:r>
          <w:t>Papademetris</w:t>
        </w:r>
        <w:proofErr w:type="spellEnd"/>
        <w:r>
          <w:t xml:space="preserve"> X, Constable RT. Groupwise whole-brain parcellation from resting-state fMRI data for network node identification. </w:t>
        </w:r>
      </w:hyperlink>
      <w:hyperlink r:id="rId23">
        <w:proofErr w:type="spellStart"/>
        <w:r>
          <w:rPr>
            <w:i/>
          </w:rPr>
          <w:t>NeuroImage</w:t>
        </w:r>
        <w:proofErr w:type="spellEnd"/>
      </w:hyperlink>
      <w:hyperlink r:id="rId24">
        <w:r>
          <w:t xml:space="preserve">. </w:t>
        </w:r>
        <w:proofErr w:type="gramStart"/>
        <w:r>
          <w:t>2013;82:403</w:t>
        </w:r>
        <w:proofErr w:type="gramEnd"/>
        <w:r>
          <w:t xml:space="preserve">-415. </w:t>
        </w:r>
        <w:proofErr w:type="gramStart"/>
        <w:r>
          <w:t>doi:10.1016/j.neuroimage</w:t>
        </w:r>
        <w:proofErr w:type="gramEnd"/>
        <w:r>
          <w:t xml:space="preserve">.2013.05.081 </w:t>
        </w:r>
      </w:hyperlink>
    </w:p>
    <w:p w14:paraId="0D165184" w14:textId="77777777" w:rsidR="00306B8E" w:rsidRDefault="00306B8E">
      <w:pPr>
        <w:spacing w:after="240" w:line="240" w:lineRule="auto"/>
        <w:ind w:left="264"/>
      </w:pPr>
      <w:hyperlink r:id="rId25">
        <w:r>
          <w:t>3.</w:t>
        </w:r>
      </w:hyperlink>
      <w:r w:rsidR="00000000">
        <w:tab/>
      </w:r>
      <w:hyperlink r:id="rId26">
        <w:r>
          <w:t xml:space="preserve">Miller KL, Alfaro-Almagro F, Bangerter NK, et al. Multimodal population brain imaging in the UK Biobank prospective epidemiological study. </w:t>
        </w:r>
      </w:hyperlink>
      <w:hyperlink r:id="rId27">
        <w:r>
          <w:rPr>
            <w:i/>
          </w:rPr>
          <w:t xml:space="preserve">Nat </w:t>
        </w:r>
        <w:proofErr w:type="spellStart"/>
        <w:r>
          <w:rPr>
            <w:i/>
          </w:rPr>
          <w:t>Neurosci</w:t>
        </w:r>
        <w:proofErr w:type="spellEnd"/>
      </w:hyperlink>
      <w:hyperlink r:id="rId28">
        <w:r>
          <w:t xml:space="preserve">. 2016;19(11):1523-1536. doi:10.1038/nn.4393 </w:t>
        </w:r>
      </w:hyperlink>
    </w:p>
    <w:p w14:paraId="2C41DDDE" w14:textId="37F8E44B" w:rsidR="00306B8E" w:rsidRDefault="00306B8E">
      <w:pPr>
        <w:spacing w:after="240" w:line="240" w:lineRule="auto"/>
        <w:ind w:left="264"/>
      </w:pPr>
      <w:hyperlink r:id="rId29">
        <w:r>
          <w:t>4.</w:t>
        </w:r>
      </w:hyperlink>
      <w:r w:rsidR="00000000">
        <w:tab/>
      </w:r>
      <w:hyperlink r:id="rId30">
        <w:r>
          <w:t>Noble S, Shearer H, Rosenblatt M, et al. Effect sizes in human functional neuroimaging. Manuscript</w:t>
        </w:r>
      </w:hyperlink>
      <w:r w:rsidR="00B65625">
        <w:t xml:space="preserve"> in Preparation.</w:t>
      </w:r>
    </w:p>
    <w:p w14:paraId="75E947DD" w14:textId="77777777" w:rsidR="00306B8E" w:rsidRDefault="00306B8E">
      <w:pPr>
        <w:spacing w:after="240" w:line="240" w:lineRule="auto"/>
        <w:ind w:left="264"/>
      </w:pPr>
      <w:hyperlink r:id="rId31">
        <w:r>
          <w:t>5.</w:t>
        </w:r>
      </w:hyperlink>
      <w:r w:rsidR="00000000">
        <w:tab/>
      </w:r>
      <w:hyperlink r:id="rId32">
        <w:r>
          <w:t xml:space="preserve">Van Essen DC, Smith SM, Barch DM, Behrens TEJ, Yacoub E, </w:t>
        </w:r>
        <w:proofErr w:type="spellStart"/>
        <w:r>
          <w:t>Ugurbil</w:t>
        </w:r>
        <w:proofErr w:type="spellEnd"/>
        <w:r>
          <w:t xml:space="preserve"> K. The WU-Minn Human Connectome Project: An overview. </w:t>
        </w:r>
      </w:hyperlink>
      <w:hyperlink r:id="rId33">
        <w:proofErr w:type="spellStart"/>
        <w:r>
          <w:rPr>
            <w:i/>
          </w:rPr>
          <w:t>NeuroImage</w:t>
        </w:r>
        <w:proofErr w:type="spellEnd"/>
      </w:hyperlink>
      <w:hyperlink r:id="rId34">
        <w:r>
          <w:t xml:space="preserve">. </w:t>
        </w:r>
        <w:proofErr w:type="gramStart"/>
        <w:r>
          <w:t>2013;80:62</w:t>
        </w:r>
        <w:proofErr w:type="gramEnd"/>
        <w:r>
          <w:t xml:space="preserve">-79. </w:t>
        </w:r>
        <w:proofErr w:type="gramStart"/>
        <w:r>
          <w:t>doi:10.1016/j.neuroimage</w:t>
        </w:r>
        <w:proofErr w:type="gramEnd"/>
        <w:r>
          <w:t xml:space="preserve">.2013.05.041 </w:t>
        </w:r>
      </w:hyperlink>
    </w:p>
    <w:p w14:paraId="1176EEA9" w14:textId="77777777" w:rsidR="00306B8E" w:rsidRDefault="00306B8E">
      <w:pPr>
        <w:spacing w:after="240" w:line="240" w:lineRule="auto"/>
        <w:ind w:left="264"/>
      </w:pPr>
      <w:hyperlink r:id="rId35">
        <w:r>
          <w:t>6.</w:t>
        </w:r>
      </w:hyperlink>
      <w:r w:rsidR="00000000">
        <w:tab/>
      </w:r>
      <w:hyperlink r:id="rId36">
        <w:r>
          <w:t>Helmer M, Warrington S, Mohammadi-Nejad AR, et al. On the stability of canonical correlation analysis and partial least squares with application to brain-</w:t>
        </w:r>
        <w:proofErr w:type="spellStart"/>
        <w:r>
          <w:t>behavior</w:t>
        </w:r>
        <w:proofErr w:type="spellEnd"/>
        <w:r>
          <w:t xml:space="preserve"> associations. </w:t>
        </w:r>
      </w:hyperlink>
      <w:hyperlink r:id="rId37">
        <w:r>
          <w:rPr>
            <w:i/>
          </w:rPr>
          <w:t>Commun Biol</w:t>
        </w:r>
      </w:hyperlink>
      <w:hyperlink r:id="rId38">
        <w:r>
          <w:t xml:space="preserve">. 2024;7(1):217. doi:10.1038/s42003-024-05869-4 </w:t>
        </w:r>
      </w:hyperlink>
    </w:p>
    <w:p w14:paraId="1AAE8929" w14:textId="77777777" w:rsidR="00306B8E" w:rsidRDefault="00306B8E">
      <w:pPr>
        <w:spacing w:after="240" w:line="240" w:lineRule="auto"/>
        <w:ind w:left="264"/>
      </w:pPr>
      <w:hyperlink r:id="rId39">
        <w:r>
          <w:t>7.</w:t>
        </w:r>
      </w:hyperlink>
      <w:r w:rsidR="00000000">
        <w:tab/>
      </w:r>
      <w:hyperlink r:id="rId40">
        <w:r>
          <w:t xml:space="preserve">Cohen J. The effect size. Statistical power analysis for the </w:t>
        </w:r>
        <w:proofErr w:type="spellStart"/>
        <w:r>
          <w:t>behavioral</w:t>
        </w:r>
        <w:proofErr w:type="spellEnd"/>
        <w:r>
          <w:t xml:space="preserve"> sciences. </w:t>
        </w:r>
      </w:hyperlink>
      <w:hyperlink r:id="rId41">
        <w:r>
          <w:rPr>
            <w:i/>
          </w:rPr>
          <w:t>Abingdon Routledge</w:t>
        </w:r>
      </w:hyperlink>
      <w:hyperlink r:id="rId42">
        <w:r>
          <w:t xml:space="preserve">. Published online 1988:77-83. </w:t>
        </w:r>
      </w:hyperlink>
    </w:p>
    <w:p w14:paraId="34D0B37A" w14:textId="77777777" w:rsidR="00306B8E" w:rsidRDefault="00306B8E">
      <w:pPr>
        <w:spacing w:after="240" w:line="240" w:lineRule="auto"/>
        <w:ind w:left="264"/>
      </w:pPr>
      <w:hyperlink r:id="rId43">
        <w:r>
          <w:t>8.</w:t>
        </w:r>
      </w:hyperlink>
      <w:r w:rsidR="00000000">
        <w:tab/>
      </w:r>
      <w:hyperlink r:id="rId44">
        <w:proofErr w:type="spellStart"/>
        <w:r>
          <w:t>Viechtbauer</w:t>
        </w:r>
        <w:proofErr w:type="spellEnd"/>
        <w:r>
          <w:t xml:space="preserve"> W. Conducting meta-analyses in R with the </w:t>
        </w:r>
        <w:proofErr w:type="spellStart"/>
        <w:r>
          <w:t>metafor</w:t>
        </w:r>
        <w:proofErr w:type="spellEnd"/>
        <w:r>
          <w:t xml:space="preserve"> package. </w:t>
        </w:r>
      </w:hyperlink>
      <w:hyperlink r:id="rId45">
        <w:r>
          <w:rPr>
            <w:i/>
          </w:rPr>
          <w:t xml:space="preserve">J Stat </w:t>
        </w:r>
        <w:proofErr w:type="spellStart"/>
        <w:r>
          <w:rPr>
            <w:i/>
          </w:rPr>
          <w:t>Softw</w:t>
        </w:r>
        <w:proofErr w:type="spellEnd"/>
      </w:hyperlink>
      <w:hyperlink r:id="rId46">
        <w:r>
          <w:t>. 2010;36(3):1-48. doi:10.18637/</w:t>
        </w:r>
        <w:proofErr w:type="gramStart"/>
        <w:r>
          <w:t>jss.v036.i</w:t>
        </w:r>
        <w:proofErr w:type="gramEnd"/>
        <w:r>
          <w:t xml:space="preserve">03 </w:t>
        </w:r>
      </w:hyperlink>
    </w:p>
    <w:sectPr w:rsidR="00306B8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6B8E"/>
    <w:rsid w:val="00306B8E"/>
    <w:rsid w:val="003F76BF"/>
    <w:rsid w:val="007976D6"/>
    <w:rsid w:val="00AA3A13"/>
    <w:rsid w:val="00B56766"/>
    <w:rsid w:val="00B656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540417"/>
  <w15:docId w15:val="{74F7FE99-EA24-E348-818C-52C62893D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zotero.org/google-docs/?YNN3H7" TargetMode="External"/><Relationship Id="rId18" Type="http://schemas.openxmlformats.org/officeDocument/2006/relationships/hyperlink" Target="https://www.zotero.org/google-docs/?7uClQt" TargetMode="External"/><Relationship Id="rId26" Type="http://schemas.openxmlformats.org/officeDocument/2006/relationships/hyperlink" Target="https://www.zotero.org/google-docs/?7uClQt" TargetMode="External"/><Relationship Id="rId39" Type="http://schemas.openxmlformats.org/officeDocument/2006/relationships/hyperlink" Target="https://www.zotero.org/google-docs/?7uClQt" TargetMode="External"/><Relationship Id="rId21" Type="http://schemas.openxmlformats.org/officeDocument/2006/relationships/hyperlink" Target="https://www.zotero.org/google-docs/?7uClQt" TargetMode="External"/><Relationship Id="rId34" Type="http://schemas.openxmlformats.org/officeDocument/2006/relationships/hyperlink" Target="https://www.zotero.org/google-docs/?7uClQt" TargetMode="External"/><Relationship Id="rId42" Type="http://schemas.openxmlformats.org/officeDocument/2006/relationships/hyperlink" Target="https://www.zotero.org/google-docs/?7uClQt" TargetMode="External"/><Relationship Id="rId47" Type="http://schemas.openxmlformats.org/officeDocument/2006/relationships/fontTable" Target="fontTable.xml"/><Relationship Id="rId7" Type="http://schemas.openxmlformats.org/officeDocument/2006/relationships/hyperlink" Target="https://www.zotero.org/google-docs/?bjjYsL" TargetMode="External"/><Relationship Id="rId2" Type="http://schemas.openxmlformats.org/officeDocument/2006/relationships/settings" Target="settings.xml"/><Relationship Id="rId16" Type="http://schemas.openxmlformats.org/officeDocument/2006/relationships/hyperlink" Target="https://www.zotero.org/google-docs/?9hadKg" TargetMode="External"/><Relationship Id="rId29" Type="http://schemas.openxmlformats.org/officeDocument/2006/relationships/hyperlink" Target="https://www.zotero.org/google-docs/?7uClQt" TargetMode="External"/><Relationship Id="rId1" Type="http://schemas.openxmlformats.org/officeDocument/2006/relationships/styles" Target="styles.xml"/><Relationship Id="rId6" Type="http://schemas.openxmlformats.org/officeDocument/2006/relationships/hyperlink" Target="https://www.zotero.org/google-docs/?jvD4ik" TargetMode="External"/><Relationship Id="rId11" Type="http://schemas.openxmlformats.org/officeDocument/2006/relationships/hyperlink" Target="https://www.zotero.org/google-docs/?vdrN7G" TargetMode="External"/><Relationship Id="rId24" Type="http://schemas.openxmlformats.org/officeDocument/2006/relationships/hyperlink" Target="https://www.zotero.org/google-docs/?7uClQt" TargetMode="External"/><Relationship Id="rId32" Type="http://schemas.openxmlformats.org/officeDocument/2006/relationships/hyperlink" Target="https://www.zotero.org/google-docs/?7uClQt" TargetMode="External"/><Relationship Id="rId37" Type="http://schemas.openxmlformats.org/officeDocument/2006/relationships/hyperlink" Target="https://www.zotero.org/google-docs/?7uClQt" TargetMode="External"/><Relationship Id="rId40" Type="http://schemas.openxmlformats.org/officeDocument/2006/relationships/hyperlink" Target="https://www.zotero.org/google-docs/?7uClQt" TargetMode="External"/><Relationship Id="rId45" Type="http://schemas.openxmlformats.org/officeDocument/2006/relationships/hyperlink" Target="https://www.zotero.org/google-docs/?7uClQt" TargetMode="External"/><Relationship Id="rId5" Type="http://schemas.openxmlformats.org/officeDocument/2006/relationships/hyperlink" Target="https://www.zotero.org/google-docs/?cVy00H" TargetMode="External"/><Relationship Id="rId15" Type="http://schemas.openxmlformats.org/officeDocument/2006/relationships/hyperlink" Target="https://www.zotero.org/google-docs/?5EEnwf" TargetMode="External"/><Relationship Id="rId23" Type="http://schemas.openxmlformats.org/officeDocument/2006/relationships/hyperlink" Target="https://www.zotero.org/google-docs/?7uClQt" TargetMode="External"/><Relationship Id="rId28" Type="http://schemas.openxmlformats.org/officeDocument/2006/relationships/hyperlink" Target="https://www.zotero.org/google-docs/?7uClQt" TargetMode="External"/><Relationship Id="rId36" Type="http://schemas.openxmlformats.org/officeDocument/2006/relationships/hyperlink" Target="https://www.zotero.org/google-docs/?7uClQt" TargetMode="External"/><Relationship Id="rId10" Type="http://schemas.openxmlformats.org/officeDocument/2006/relationships/image" Target="media/image1.png"/><Relationship Id="rId19" Type="http://schemas.openxmlformats.org/officeDocument/2006/relationships/hyperlink" Target="https://www.zotero.org/google-docs/?7uClQt" TargetMode="External"/><Relationship Id="rId31" Type="http://schemas.openxmlformats.org/officeDocument/2006/relationships/hyperlink" Target="https://www.zotero.org/google-docs/?7uClQt" TargetMode="External"/><Relationship Id="rId44" Type="http://schemas.openxmlformats.org/officeDocument/2006/relationships/hyperlink" Target="https://www.zotero.org/google-docs/?7uClQt" TargetMode="External"/><Relationship Id="rId4" Type="http://schemas.openxmlformats.org/officeDocument/2006/relationships/hyperlink" Target="https://www.zotero.org/google-docs/?Z4G1zz" TargetMode="External"/><Relationship Id="rId9" Type="http://schemas.openxmlformats.org/officeDocument/2006/relationships/hyperlink" Target="https://www.zotero.org/google-docs/?yCglFk" TargetMode="External"/><Relationship Id="rId14" Type="http://schemas.openxmlformats.org/officeDocument/2006/relationships/hyperlink" Target="https://www.zotero.org/google-docs/?K7WIkl" TargetMode="External"/><Relationship Id="rId22" Type="http://schemas.openxmlformats.org/officeDocument/2006/relationships/hyperlink" Target="https://www.zotero.org/google-docs/?7uClQt" TargetMode="External"/><Relationship Id="rId27" Type="http://schemas.openxmlformats.org/officeDocument/2006/relationships/hyperlink" Target="https://www.zotero.org/google-docs/?7uClQt" TargetMode="External"/><Relationship Id="rId30" Type="http://schemas.openxmlformats.org/officeDocument/2006/relationships/hyperlink" Target="https://www.zotero.org/google-docs/?7uClQt" TargetMode="External"/><Relationship Id="rId35" Type="http://schemas.openxmlformats.org/officeDocument/2006/relationships/hyperlink" Target="https://www.zotero.org/google-docs/?7uClQt" TargetMode="External"/><Relationship Id="rId43" Type="http://schemas.openxmlformats.org/officeDocument/2006/relationships/hyperlink" Target="https://www.zotero.org/google-docs/?7uClQt" TargetMode="External"/><Relationship Id="rId48" Type="http://schemas.openxmlformats.org/officeDocument/2006/relationships/theme" Target="theme/theme1.xml"/><Relationship Id="rId8" Type="http://schemas.openxmlformats.org/officeDocument/2006/relationships/hyperlink" Target="https://www.zotero.org/google-docs/?QMVXtM" TargetMode="External"/><Relationship Id="rId3" Type="http://schemas.openxmlformats.org/officeDocument/2006/relationships/webSettings" Target="webSettings.xml"/><Relationship Id="rId12" Type="http://schemas.openxmlformats.org/officeDocument/2006/relationships/hyperlink" Target="https://www.zotero.org/google-docs/?zJQrXn" TargetMode="External"/><Relationship Id="rId17" Type="http://schemas.openxmlformats.org/officeDocument/2006/relationships/hyperlink" Target="https://www.zotero.org/google-docs/?7uClQt" TargetMode="External"/><Relationship Id="rId25" Type="http://schemas.openxmlformats.org/officeDocument/2006/relationships/hyperlink" Target="https://www.zotero.org/google-docs/?7uClQt" TargetMode="External"/><Relationship Id="rId33" Type="http://schemas.openxmlformats.org/officeDocument/2006/relationships/hyperlink" Target="https://www.zotero.org/google-docs/?7uClQt" TargetMode="External"/><Relationship Id="rId38" Type="http://schemas.openxmlformats.org/officeDocument/2006/relationships/hyperlink" Target="https://www.zotero.org/google-docs/?7uClQt" TargetMode="External"/><Relationship Id="rId46" Type="http://schemas.openxmlformats.org/officeDocument/2006/relationships/hyperlink" Target="https://www.zotero.org/google-docs/?7uClQt" TargetMode="External"/><Relationship Id="rId20" Type="http://schemas.openxmlformats.org/officeDocument/2006/relationships/hyperlink" Target="https://www.zotero.org/google-docs/?7uClQt" TargetMode="External"/><Relationship Id="rId41" Type="http://schemas.openxmlformats.org/officeDocument/2006/relationships/hyperlink" Target="https://www.zotero.org/google-docs/?7uClQ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1574</Words>
  <Characters>8972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Justine Ziolkowski</cp:lastModifiedBy>
  <cp:revision>3</cp:revision>
  <dcterms:created xsi:type="dcterms:W3CDTF">2025-10-21T22:35:00Z</dcterms:created>
  <dcterms:modified xsi:type="dcterms:W3CDTF">2025-10-23T16:46:00Z</dcterms:modified>
</cp:coreProperties>
</file>