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C8D280" w14:textId="6095AF52" w:rsidR="0000485D" w:rsidRPr="00C76F28" w:rsidRDefault="00D10DC6" w:rsidP="003135E7">
      <w:pPr>
        <w:rPr>
          <w:rFonts w:ascii="Arial" w:hAnsi="Arial" w:cs="Arial"/>
          <w:b/>
          <w:bCs/>
          <w:sz w:val="22"/>
          <w:szCs w:val="22"/>
        </w:rPr>
      </w:pPr>
      <w:r w:rsidRPr="00C76F28">
        <w:rPr>
          <w:rFonts w:ascii="Arial" w:hAnsi="Arial" w:cs="Arial"/>
          <w:b/>
          <w:bCs/>
          <w:sz w:val="22"/>
          <w:szCs w:val="22"/>
        </w:rPr>
        <w:t>Supplemental Materials</w:t>
      </w:r>
    </w:p>
    <w:p w14:paraId="614CDCD4" w14:textId="4066B8C2" w:rsidR="00D10DC6" w:rsidRPr="00C76F28" w:rsidRDefault="00F20242" w:rsidP="003135E7">
      <w:pPr>
        <w:rPr>
          <w:rFonts w:ascii="Arial" w:hAnsi="Arial" w:cs="Arial"/>
          <w:b/>
          <w:bCs/>
          <w:sz w:val="22"/>
          <w:szCs w:val="22"/>
        </w:rPr>
      </w:pPr>
      <w:r w:rsidRPr="00C76F28">
        <w:rPr>
          <w:rFonts w:ascii="Arial" w:hAnsi="Arial" w:cs="Arial"/>
          <w:b/>
          <w:bCs/>
          <w:sz w:val="22"/>
          <w:szCs w:val="22"/>
        </w:rPr>
        <w:t>Magnetic Resonance Imaging (</w:t>
      </w:r>
      <w:r w:rsidR="00D10DC6" w:rsidRPr="00C76F28">
        <w:rPr>
          <w:rFonts w:ascii="Arial" w:hAnsi="Arial" w:cs="Arial"/>
          <w:b/>
          <w:bCs/>
          <w:sz w:val="22"/>
          <w:szCs w:val="22"/>
        </w:rPr>
        <w:t>MRI</w:t>
      </w:r>
      <w:r w:rsidRPr="00C76F28">
        <w:rPr>
          <w:rFonts w:ascii="Arial" w:hAnsi="Arial" w:cs="Arial"/>
          <w:b/>
          <w:bCs/>
          <w:sz w:val="22"/>
          <w:szCs w:val="22"/>
        </w:rPr>
        <w:t>) Details</w:t>
      </w:r>
    </w:p>
    <w:p w14:paraId="26207814" w14:textId="5B9E41BD" w:rsidR="00D10DC6" w:rsidRPr="00C76F28" w:rsidRDefault="00D10DC6" w:rsidP="003135E7">
      <w:pPr>
        <w:rPr>
          <w:rFonts w:ascii="Arial" w:hAnsi="Arial" w:cs="Arial"/>
          <w:b/>
          <w:bCs/>
          <w:sz w:val="22"/>
          <w:szCs w:val="22"/>
        </w:rPr>
      </w:pPr>
      <w:r w:rsidRPr="00C76F28">
        <w:rPr>
          <w:rFonts w:ascii="Arial" w:hAnsi="Arial" w:cs="Arial"/>
          <w:b/>
          <w:bCs/>
          <w:sz w:val="22"/>
          <w:szCs w:val="22"/>
        </w:rPr>
        <w:t>Scan Sequences (Core Protocol)</w:t>
      </w:r>
    </w:p>
    <w:p w14:paraId="46AB5D19" w14:textId="710102D7" w:rsidR="00D10DC6" w:rsidRPr="00C76F28" w:rsidRDefault="00D10DC6" w:rsidP="003135E7">
      <w:pPr>
        <w:pStyle w:val="ListParagraph"/>
        <w:numPr>
          <w:ilvl w:val="0"/>
          <w:numId w:val="2"/>
        </w:numPr>
        <w:rPr>
          <w:rFonts w:ascii="Arial" w:hAnsi="Arial" w:cs="Arial"/>
          <w:sz w:val="22"/>
          <w:szCs w:val="22"/>
        </w:rPr>
      </w:pPr>
      <w:r w:rsidRPr="00C76F28">
        <w:rPr>
          <w:rFonts w:ascii="Arial" w:hAnsi="Arial" w:cs="Arial"/>
          <w:sz w:val="22"/>
          <w:szCs w:val="22"/>
        </w:rPr>
        <w:t>3-Plane / Tri-Planar Scout</w:t>
      </w:r>
    </w:p>
    <w:p w14:paraId="371F6D03" w14:textId="43AC5B29" w:rsidR="00D10DC6" w:rsidRPr="00C76F28" w:rsidRDefault="00D10DC6" w:rsidP="003135E7">
      <w:pPr>
        <w:pStyle w:val="ListParagraph"/>
        <w:numPr>
          <w:ilvl w:val="0"/>
          <w:numId w:val="2"/>
        </w:numPr>
        <w:rPr>
          <w:rFonts w:ascii="Arial" w:hAnsi="Arial" w:cs="Arial"/>
          <w:sz w:val="22"/>
          <w:szCs w:val="22"/>
        </w:rPr>
      </w:pPr>
      <w:r w:rsidRPr="00C76F28">
        <w:rPr>
          <w:rFonts w:ascii="Arial" w:hAnsi="Arial" w:cs="Arial"/>
          <w:sz w:val="22"/>
          <w:szCs w:val="22"/>
        </w:rPr>
        <w:t>Axial T2-Star / GRE</w:t>
      </w:r>
    </w:p>
    <w:p w14:paraId="4BA5D944" w14:textId="50C19DFC" w:rsidR="00D10DC6" w:rsidRPr="00C76F28" w:rsidRDefault="00D10DC6" w:rsidP="003135E7">
      <w:pPr>
        <w:pStyle w:val="ListParagraph"/>
        <w:numPr>
          <w:ilvl w:val="0"/>
          <w:numId w:val="2"/>
        </w:numPr>
        <w:rPr>
          <w:rFonts w:ascii="Arial" w:hAnsi="Arial" w:cs="Arial"/>
          <w:sz w:val="22"/>
          <w:szCs w:val="22"/>
        </w:rPr>
      </w:pPr>
      <w:r w:rsidRPr="00C76F28">
        <w:rPr>
          <w:rFonts w:ascii="Arial" w:hAnsi="Arial" w:cs="Arial"/>
          <w:sz w:val="22"/>
          <w:szCs w:val="22"/>
        </w:rPr>
        <w:t>Axial T2 FLAIR</w:t>
      </w:r>
    </w:p>
    <w:p w14:paraId="348CE2FD" w14:textId="2FA3B00F" w:rsidR="00D10DC6" w:rsidRPr="00C76F28" w:rsidRDefault="00D10DC6" w:rsidP="003135E7">
      <w:pPr>
        <w:pStyle w:val="ListParagraph"/>
        <w:numPr>
          <w:ilvl w:val="0"/>
          <w:numId w:val="2"/>
        </w:numPr>
        <w:rPr>
          <w:rFonts w:ascii="Arial" w:hAnsi="Arial" w:cs="Arial"/>
          <w:sz w:val="22"/>
          <w:szCs w:val="22"/>
        </w:rPr>
      </w:pPr>
      <w:r w:rsidRPr="00C76F28">
        <w:rPr>
          <w:rFonts w:ascii="Arial" w:hAnsi="Arial" w:cs="Arial"/>
          <w:sz w:val="22"/>
          <w:szCs w:val="22"/>
        </w:rPr>
        <w:t>Axial functional connectivity MRI (fcMRI) — eyes open</w:t>
      </w:r>
    </w:p>
    <w:p w14:paraId="1BECE339" w14:textId="69CF1C1E" w:rsidR="00D10DC6" w:rsidRPr="00C76F28" w:rsidRDefault="00D10DC6" w:rsidP="003135E7">
      <w:pPr>
        <w:pStyle w:val="ListParagraph"/>
        <w:numPr>
          <w:ilvl w:val="0"/>
          <w:numId w:val="2"/>
        </w:numPr>
        <w:rPr>
          <w:rFonts w:ascii="Arial" w:hAnsi="Arial" w:cs="Arial"/>
          <w:sz w:val="22"/>
          <w:szCs w:val="22"/>
        </w:rPr>
      </w:pPr>
      <w:r w:rsidRPr="00C76F28">
        <w:rPr>
          <w:rFonts w:ascii="Arial" w:hAnsi="Arial" w:cs="Arial"/>
          <w:sz w:val="22"/>
          <w:szCs w:val="22"/>
        </w:rPr>
        <w:t>Sagittal 3D Accelerated MPRAGE/IRSPGR</w:t>
      </w:r>
    </w:p>
    <w:p w14:paraId="69D5B6FB" w14:textId="01765268" w:rsidR="00D10DC6" w:rsidRPr="00C76F28" w:rsidRDefault="00D10DC6" w:rsidP="003135E7">
      <w:pPr>
        <w:pStyle w:val="ListParagraph"/>
        <w:numPr>
          <w:ilvl w:val="0"/>
          <w:numId w:val="2"/>
        </w:numPr>
        <w:rPr>
          <w:rFonts w:ascii="Arial" w:hAnsi="Arial" w:cs="Arial"/>
          <w:sz w:val="22"/>
          <w:szCs w:val="22"/>
        </w:rPr>
      </w:pPr>
      <w:r w:rsidRPr="00C76F28">
        <w:rPr>
          <w:rFonts w:ascii="Arial" w:hAnsi="Arial" w:cs="Arial"/>
          <w:sz w:val="22"/>
          <w:szCs w:val="22"/>
        </w:rPr>
        <w:t>Axial Diffusion Weighted Imaging (DWI)</w:t>
      </w:r>
    </w:p>
    <w:p w14:paraId="46D99AA4" w14:textId="3C541560" w:rsidR="00D10DC6" w:rsidRPr="00C76F28" w:rsidRDefault="00D10DC6" w:rsidP="003135E7">
      <w:pPr>
        <w:pStyle w:val="ListParagraph"/>
        <w:numPr>
          <w:ilvl w:val="0"/>
          <w:numId w:val="2"/>
        </w:numPr>
        <w:rPr>
          <w:rFonts w:ascii="Arial" w:hAnsi="Arial" w:cs="Arial"/>
          <w:sz w:val="22"/>
          <w:szCs w:val="22"/>
        </w:rPr>
      </w:pPr>
      <w:r w:rsidRPr="00C76F28">
        <w:rPr>
          <w:rFonts w:ascii="Arial" w:hAnsi="Arial" w:cs="Arial"/>
          <w:sz w:val="22"/>
          <w:szCs w:val="22"/>
        </w:rPr>
        <w:t>Axial T2 FSE/TSE</w:t>
      </w:r>
    </w:p>
    <w:p w14:paraId="250E6F27" w14:textId="77777777" w:rsidR="00D10DC6" w:rsidRDefault="00D10DC6" w:rsidP="003135E7">
      <w:pPr>
        <w:rPr>
          <w:rFonts w:ascii="Arial" w:hAnsi="Arial" w:cs="Arial"/>
          <w:sz w:val="22"/>
          <w:szCs w:val="22"/>
        </w:rPr>
      </w:pPr>
      <w:r w:rsidRPr="00C76F28">
        <w:rPr>
          <w:rFonts w:ascii="Arial" w:hAnsi="Arial" w:cs="Arial"/>
          <w:b/>
          <w:bCs/>
          <w:sz w:val="22"/>
          <w:szCs w:val="22"/>
        </w:rPr>
        <w:t>Optional Sequence:</w:t>
      </w:r>
      <w:r w:rsidRPr="00C76F28">
        <w:rPr>
          <w:rFonts w:ascii="Arial" w:hAnsi="Arial" w:cs="Arial"/>
          <w:sz w:val="22"/>
          <w:szCs w:val="22"/>
        </w:rPr>
        <w:t xml:space="preserve"> Multiband fcMRI (eyes open)</w:t>
      </w:r>
    </w:p>
    <w:p w14:paraId="469EB176" w14:textId="71724D70" w:rsidR="0015012D" w:rsidRDefault="0015012D" w:rsidP="003135E7">
      <w:pPr>
        <w:rPr>
          <w:rFonts w:ascii="Arial" w:hAnsi="Arial" w:cs="Arial"/>
          <w:sz w:val="22"/>
          <w:szCs w:val="22"/>
        </w:rPr>
      </w:pPr>
      <w:r w:rsidRPr="008F7402">
        <w:rPr>
          <w:rFonts w:ascii="Arial" w:hAnsi="Arial" w:cs="Arial"/>
          <w:b/>
          <w:bCs/>
          <w:sz w:val="22"/>
          <w:szCs w:val="22"/>
        </w:rPr>
        <w:t>Acquisition Protocols:</w:t>
      </w:r>
      <w:r w:rsidRPr="008F7402">
        <w:rPr>
          <w:rFonts w:ascii="Arial" w:hAnsi="Arial" w:cs="Arial"/>
          <w:sz w:val="22"/>
          <w:szCs w:val="22"/>
        </w:rPr>
        <w:t xml:space="preserve"> </w:t>
      </w:r>
      <w:hyperlink r:id="rId5" w:history="1">
        <w:r w:rsidR="00525DB7" w:rsidRPr="008F7402">
          <w:rPr>
            <w:rStyle w:val="Hyperlink"/>
            <w:rFonts w:ascii="Arial" w:hAnsi="Arial" w:cs="Arial"/>
            <w:sz w:val="22"/>
            <w:szCs w:val="22"/>
          </w:rPr>
          <w:t>https://adni.loni.usc.edu/data-samples/adni-data/neuroimaging/mri/mri-scanner-protocols/</w:t>
        </w:r>
      </w:hyperlink>
    </w:p>
    <w:p w14:paraId="7A8C7251" w14:textId="1600CE45" w:rsidR="00525DB7" w:rsidRPr="008F7402" w:rsidRDefault="00525DB7" w:rsidP="003135E7">
      <w:pPr>
        <w:rPr>
          <w:rFonts w:ascii="Arial" w:hAnsi="Arial" w:cs="Arial"/>
          <w:b/>
          <w:bCs/>
          <w:sz w:val="22"/>
          <w:szCs w:val="22"/>
        </w:rPr>
      </w:pPr>
      <w:r w:rsidRPr="008F7402">
        <w:rPr>
          <w:rFonts w:ascii="Arial" w:hAnsi="Arial" w:cs="Arial"/>
          <w:b/>
          <w:bCs/>
          <w:sz w:val="22"/>
          <w:szCs w:val="22"/>
        </w:rPr>
        <w:t>Acquisition Parameters</w:t>
      </w:r>
    </w:p>
    <w:tbl>
      <w:tblPr>
        <w:tblW w:w="5000" w:type="pct"/>
        <w:tblLook w:val="04A0" w:firstRow="1" w:lastRow="0" w:firstColumn="1" w:lastColumn="0" w:noHBand="0" w:noVBand="1"/>
      </w:tblPr>
      <w:tblGrid>
        <w:gridCol w:w="1081"/>
        <w:gridCol w:w="1153"/>
        <w:gridCol w:w="1153"/>
        <w:gridCol w:w="2031"/>
        <w:gridCol w:w="870"/>
        <w:gridCol w:w="1528"/>
        <w:gridCol w:w="1544"/>
      </w:tblGrid>
      <w:tr w:rsidR="00525DB7" w:rsidRPr="00525DB7" w14:paraId="43C56FF7" w14:textId="77777777" w:rsidTr="006E7F5C">
        <w:trPr>
          <w:trHeight w:val="300"/>
        </w:trPr>
        <w:tc>
          <w:tcPr>
            <w:tcW w:w="563" w:type="pct"/>
            <w:tcBorders>
              <w:top w:val="nil"/>
              <w:left w:val="nil"/>
              <w:bottom w:val="nil"/>
              <w:right w:val="nil"/>
            </w:tcBorders>
            <w:noWrap/>
            <w:vAlign w:val="bottom"/>
            <w:hideMark/>
          </w:tcPr>
          <w:p w14:paraId="07B8E206" w14:textId="77777777" w:rsidR="00525DB7" w:rsidRPr="00525DB7" w:rsidRDefault="00525DB7" w:rsidP="00525DB7">
            <w:pPr>
              <w:spacing w:after="0" w:line="240" w:lineRule="auto"/>
              <w:rPr>
                <w:rFonts w:ascii="Times New Roman" w:eastAsia="Times New Roman" w:hAnsi="Times New Roman" w:cs="Times New Roman"/>
                <w:kern w:val="0"/>
                <w14:ligatures w14:val="none"/>
              </w:rPr>
            </w:pPr>
          </w:p>
        </w:tc>
        <w:tc>
          <w:tcPr>
            <w:tcW w:w="602" w:type="pct"/>
            <w:tcBorders>
              <w:top w:val="nil"/>
              <w:left w:val="nil"/>
              <w:bottom w:val="nil"/>
              <w:right w:val="nil"/>
            </w:tcBorders>
            <w:shd w:val="clear" w:color="000000" w:fill="D9D9D9"/>
            <w:noWrap/>
            <w:vAlign w:val="bottom"/>
            <w:hideMark/>
          </w:tcPr>
          <w:p w14:paraId="5AC3C33D"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Axial_T2_STAR</w:t>
            </w:r>
          </w:p>
        </w:tc>
        <w:tc>
          <w:tcPr>
            <w:tcW w:w="563" w:type="pct"/>
            <w:tcBorders>
              <w:top w:val="nil"/>
              <w:left w:val="nil"/>
              <w:bottom w:val="nil"/>
              <w:right w:val="nil"/>
            </w:tcBorders>
            <w:shd w:val="clear" w:color="000000" w:fill="D9D9D9"/>
            <w:noWrap/>
            <w:vAlign w:val="bottom"/>
            <w:hideMark/>
          </w:tcPr>
          <w:p w14:paraId="2325EACE"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Axial_T2_FLAIR</w:t>
            </w:r>
          </w:p>
        </w:tc>
        <w:tc>
          <w:tcPr>
            <w:tcW w:w="1138" w:type="pct"/>
            <w:tcBorders>
              <w:top w:val="nil"/>
              <w:left w:val="nil"/>
              <w:bottom w:val="nil"/>
              <w:right w:val="nil"/>
            </w:tcBorders>
            <w:shd w:val="clear" w:color="000000" w:fill="D9D9D9"/>
            <w:noWrap/>
            <w:vAlign w:val="bottom"/>
            <w:hideMark/>
          </w:tcPr>
          <w:p w14:paraId="00ADAD0B"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Sagittal 3D Accelerated MPRAGE</w:t>
            </w:r>
          </w:p>
        </w:tc>
        <w:tc>
          <w:tcPr>
            <w:tcW w:w="414" w:type="pct"/>
            <w:tcBorders>
              <w:top w:val="nil"/>
              <w:left w:val="nil"/>
              <w:bottom w:val="nil"/>
              <w:right w:val="nil"/>
            </w:tcBorders>
            <w:shd w:val="clear" w:color="000000" w:fill="D9D9D9"/>
            <w:noWrap/>
            <w:vAlign w:val="bottom"/>
            <w:hideMark/>
          </w:tcPr>
          <w:p w14:paraId="21D4280F"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Axial DWI</w:t>
            </w:r>
          </w:p>
        </w:tc>
        <w:tc>
          <w:tcPr>
            <w:tcW w:w="847" w:type="pct"/>
            <w:tcBorders>
              <w:top w:val="nil"/>
              <w:left w:val="nil"/>
              <w:bottom w:val="nil"/>
              <w:right w:val="nil"/>
            </w:tcBorders>
            <w:shd w:val="clear" w:color="000000" w:fill="D9D9D9"/>
            <w:noWrap/>
            <w:vAlign w:val="bottom"/>
            <w:hideMark/>
          </w:tcPr>
          <w:p w14:paraId="63118F9B"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Axial fcMRI (Eyes Open)</w:t>
            </w:r>
          </w:p>
        </w:tc>
        <w:tc>
          <w:tcPr>
            <w:tcW w:w="873" w:type="pct"/>
            <w:tcBorders>
              <w:top w:val="nil"/>
              <w:left w:val="nil"/>
              <w:bottom w:val="nil"/>
              <w:right w:val="nil"/>
            </w:tcBorders>
            <w:shd w:val="clear" w:color="000000" w:fill="D9D9D9"/>
            <w:noWrap/>
            <w:vAlign w:val="bottom"/>
            <w:hideMark/>
          </w:tcPr>
          <w:p w14:paraId="33BF0F94"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Axial T2 TSE with Fat Sat</w:t>
            </w:r>
          </w:p>
        </w:tc>
      </w:tr>
      <w:tr w:rsidR="00525DB7" w:rsidRPr="00525DB7" w14:paraId="115780D2" w14:textId="77777777" w:rsidTr="006E7F5C">
        <w:trPr>
          <w:trHeight w:val="300"/>
        </w:trPr>
        <w:tc>
          <w:tcPr>
            <w:tcW w:w="563" w:type="pct"/>
            <w:tcBorders>
              <w:top w:val="nil"/>
              <w:left w:val="nil"/>
              <w:bottom w:val="nil"/>
              <w:right w:val="nil"/>
            </w:tcBorders>
            <w:shd w:val="clear" w:color="000000" w:fill="D9D9D9"/>
            <w:noWrap/>
            <w:vAlign w:val="bottom"/>
            <w:hideMark/>
          </w:tcPr>
          <w:p w14:paraId="08653059"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Time</w:t>
            </w:r>
          </w:p>
        </w:tc>
        <w:tc>
          <w:tcPr>
            <w:tcW w:w="602" w:type="pct"/>
            <w:tcBorders>
              <w:top w:val="nil"/>
              <w:left w:val="nil"/>
              <w:bottom w:val="nil"/>
              <w:right w:val="nil"/>
            </w:tcBorders>
            <w:noWrap/>
            <w:vAlign w:val="bottom"/>
            <w:hideMark/>
          </w:tcPr>
          <w:p w14:paraId="2CFC831A"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4:11</w:t>
            </w:r>
          </w:p>
        </w:tc>
        <w:tc>
          <w:tcPr>
            <w:tcW w:w="563" w:type="pct"/>
            <w:tcBorders>
              <w:top w:val="nil"/>
              <w:left w:val="nil"/>
              <w:bottom w:val="nil"/>
              <w:right w:val="nil"/>
            </w:tcBorders>
            <w:noWrap/>
            <w:vAlign w:val="bottom"/>
            <w:hideMark/>
          </w:tcPr>
          <w:p w14:paraId="6E3E3BD5"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4:05</w:t>
            </w:r>
          </w:p>
        </w:tc>
        <w:tc>
          <w:tcPr>
            <w:tcW w:w="1138" w:type="pct"/>
            <w:tcBorders>
              <w:top w:val="nil"/>
              <w:left w:val="nil"/>
              <w:bottom w:val="nil"/>
              <w:right w:val="nil"/>
            </w:tcBorders>
            <w:noWrap/>
            <w:vAlign w:val="bottom"/>
            <w:hideMark/>
          </w:tcPr>
          <w:p w14:paraId="648A4DD7"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5:12</w:t>
            </w:r>
          </w:p>
        </w:tc>
        <w:tc>
          <w:tcPr>
            <w:tcW w:w="414" w:type="pct"/>
            <w:tcBorders>
              <w:top w:val="nil"/>
              <w:left w:val="nil"/>
              <w:bottom w:val="nil"/>
              <w:right w:val="nil"/>
            </w:tcBorders>
            <w:noWrap/>
            <w:vAlign w:val="bottom"/>
            <w:hideMark/>
          </w:tcPr>
          <w:p w14:paraId="28D92DDD"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2:13</w:t>
            </w:r>
          </w:p>
        </w:tc>
        <w:tc>
          <w:tcPr>
            <w:tcW w:w="847" w:type="pct"/>
            <w:tcBorders>
              <w:top w:val="nil"/>
              <w:left w:val="nil"/>
              <w:bottom w:val="nil"/>
              <w:right w:val="nil"/>
            </w:tcBorders>
            <w:noWrap/>
            <w:vAlign w:val="bottom"/>
            <w:hideMark/>
          </w:tcPr>
          <w:p w14:paraId="2EC13B52"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10:00</w:t>
            </w:r>
          </w:p>
        </w:tc>
        <w:tc>
          <w:tcPr>
            <w:tcW w:w="873" w:type="pct"/>
            <w:tcBorders>
              <w:top w:val="nil"/>
              <w:left w:val="nil"/>
              <w:bottom w:val="nil"/>
              <w:right w:val="nil"/>
            </w:tcBorders>
            <w:noWrap/>
            <w:vAlign w:val="bottom"/>
            <w:hideMark/>
          </w:tcPr>
          <w:p w14:paraId="460D8FEE"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3:26</w:t>
            </w:r>
          </w:p>
        </w:tc>
      </w:tr>
      <w:tr w:rsidR="00525DB7" w:rsidRPr="00525DB7" w14:paraId="0590C42E" w14:textId="77777777" w:rsidTr="006E7F5C">
        <w:trPr>
          <w:trHeight w:val="300"/>
        </w:trPr>
        <w:tc>
          <w:tcPr>
            <w:tcW w:w="563" w:type="pct"/>
            <w:tcBorders>
              <w:top w:val="nil"/>
              <w:left w:val="nil"/>
              <w:bottom w:val="nil"/>
              <w:right w:val="nil"/>
            </w:tcBorders>
            <w:shd w:val="clear" w:color="000000" w:fill="D9D9D9"/>
            <w:noWrap/>
            <w:vAlign w:val="bottom"/>
            <w:hideMark/>
          </w:tcPr>
          <w:p w14:paraId="64F5A638"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Voxel Size</w:t>
            </w:r>
          </w:p>
        </w:tc>
        <w:tc>
          <w:tcPr>
            <w:tcW w:w="602" w:type="pct"/>
            <w:tcBorders>
              <w:top w:val="nil"/>
              <w:left w:val="nil"/>
              <w:bottom w:val="nil"/>
              <w:right w:val="nil"/>
            </w:tcBorders>
            <w:noWrap/>
            <w:vAlign w:val="bottom"/>
            <w:hideMark/>
          </w:tcPr>
          <w:p w14:paraId="3EF69972"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0.9×0.9×4.0 mm³</w:t>
            </w:r>
          </w:p>
        </w:tc>
        <w:tc>
          <w:tcPr>
            <w:tcW w:w="563" w:type="pct"/>
            <w:tcBorders>
              <w:top w:val="nil"/>
              <w:left w:val="nil"/>
              <w:bottom w:val="nil"/>
              <w:right w:val="nil"/>
            </w:tcBorders>
            <w:noWrap/>
            <w:vAlign w:val="bottom"/>
            <w:hideMark/>
          </w:tcPr>
          <w:p w14:paraId="156981DC"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0.9×0.9×5.0 mm³</w:t>
            </w:r>
          </w:p>
        </w:tc>
        <w:tc>
          <w:tcPr>
            <w:tcW w:w="1138" w:type="pct"/>
            <w:tcBorders>
              <w:top w:val="nil"/>
              <w:left w:val="nil"/>
              <w:bottom w:val="nil"/>
              <w:right w:val="nil"/>
            </w:tcBorders>
            <w:noWrap/>
            <w:vAlign w:val="bottom"/>
            <w:hideMark/>
          </w:tcPr>
          <w:p w14:paraId="0BA7876D"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1.1×1.1×1.2 mm</w:t>
            </w:r>
          </w:p>
        </w:tc>
        <w:tc>
          <w:tcPr>
            <w:tcW w:w="414" w:type="pct"/>
            <w:tcBorders>
              <w:top w:val="nil"/>
              <w:left w:val="nil"/>
              <w:bottom w:val="nil"/>
              <w:right w:val="nil"/>
            </w:tcBorders>
            <w:noWrap/>
            <w:vAlign w:val="bottom"/>
            <w:hideMark/>
          </w:tcPr>
          <w:p w14:paraId="35032469"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1.1×1.1×4.0</w:t>
            </w:r>
          </w:p>
        </w:tc>
        <w:tc>
          <w:tcPr>
            <w:tcW w:w="847" w:type="pct"/>
            <w:tcBorders>
              <w:top w:val="nil"/>
              <w:left w:val="nil"/>
              <w:bottom w:val="nil"/>
              <w:right w:val="nil"/>
            </w:tcBorders>
            <w:noWrap/>
            <w:vAlign w:val="bottom"/>
            <w:hideMark/>
          </w:tcPr>
          <w:p w14:paraId="54989261"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3.3×3.3×3.3 mm</w:t>
            </w:r>
          </w:p>
        </w:tc>
        <w:tc>
          <w:tcPr>
            <w:tcW w:w="873" w:type="pct"/>
            <w:tcBorders>
              <w:top w:val="nil"/>
              <w:left w:val="nil"/>
              <w:bottom w:val="nil"/>
              <w:right w:val="nil"/>
            </w:tcBorders>
            <w:noWrap/>
            <w:vAlign w:val="bottom"/>
            <w:hideMark/>
          </w:tcPr>
          <w:p w14:paraId="7C3482F4"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0.9×0.9×4.0 mm³</w:t>
            </w:r>
          </w:p>
        </w:tc>
      </w:tr>
      <w:tr w:rsidR="00525DB7" w:rsidRPr="00525DB7" w14:paraId="4E0CB243" w14:textId="77777777" w:rsidTr="006E7F5C">
        <w:trPr>
          <w:trHeight w:val="300"/>
        </w:trPr>
        <w:tc>
          <w:tcPr>
            <w:tcW w:w="563" w:type="pct"/>
            <w:tcBorders>
              <w:top w:val="nil"/>
              <w:left w:val="nil"/>
              <w:bottom w:val="nil"/>
              <w:right w:val="nil"/>
            </w:tcBorders>
            <w:shd w:val="clear" w:color="000000" w:fill="D9D9D9"/>
            <w:noWrap/>
            <w:vAlign w:val="bottom"/>
            <w:hideMark/>
          </w:tcPr>
          <w:p w14:paraId="1DC2BDA7"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Slices</w:t>
            </w:r>
          </w:p>
        </w:tc>
        <w:tc>
          <w:tcPr>
            <w:tcW w:w="602" w:type="pct"/>
            <w:tcBorders>
              <w:top w:val="nil"/>
              <w:left w:val="nil"/>
              <w:bottom w:val="nil"/>
              <w:right w:val="nil"/>
            </w:tcBorders>
            <w:noWrap/>
            <w:vAlign w:val="bottom"/>
            <w:hideMark/>
          </w:tcPr>
          <w:p w14:paraId="52F27833"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44</w:t>
            </w:r>
          </w:p>
        </w:tc>
        <w:tc>
          <w:tcPr>
            <w:tcW w:w="563" w:type="pct"/>
            <w:tcBorders>
              <w:top w:val="nil"/>
              <w:left w:val="nil"/>
              <w:bottom w:val="nil"/>
              <w:right w:val="nil"/>
            </w:tcBorders>
            <w:noWrap/>
            <w:vAlign w:val="bottom"/>
            <w:hideMark/>
          </w:tcPr>
          <w:p w14:paraId="3AFA0FC6"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35</w:t>
            </w:r>
          </w:p>
        </w:tc>
        <w:tc>
          <w:tcPr>
            <w:tcW w:w="1138" w:type="pct"/>
            <w:tcBorders>
              <w:top w:val="nil"/>
              <w:left w:val="nil"/>
              <w:bottom w:val="nil"/>
              <w:right w:val="nil"/>
            </w:tcBorders>
            <w:noWrap/>
            <w:vAlign w:val="bottom"/>
            <w:hideMark/>
          </w:tcPr>
          <w:p w14:paraId="263BF134"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176</w:t>
            </w:r>
          </w:p>
        </w:tc>
        <w:tc>
          <w:tcPr>
            <w:tcW w:w="414" w:type="pct"/>
            <w:tcBorders>
              <w:top w:val="nil"/>
              <w:left w:val="nil"/>
              <w:bottom w:val="nil"/>
              <w:right w:val="nil"/>
            </w:tcBorders>
            <w:noWrap/>
            <w:vAlign w:val="bottom"/>
            <w:hideMark/>
          </w:tcPr>
          <w:p w14:paraId="64A11C4C"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40</w:t>
            </w:r>
          </w:p>
        </w:tc>
        <w:tc>
          <w:tcPr>
            <w:tcW w:w="847" w:type="pct"/>
            <w:tcBorders>
              <w:top w:val="nil"/>
              <w:left w:val="nil"/>
              <w:bottom w:val="nil"/>
              <w:right w:val="nil"/>
            </w:tcBorders>
            <w:noWrap/>
            <w:vAlign w:val="bottom"/>
            <w:hideMark/>
          </w:tcPr>
          <w:p w14:paraId="13C78998"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48</w:t>
            </w:r>
          </w:p>
        </w:tc>
        <w:tc>
          <w:tcPr>
            <w:tcW w:w="873" w:type="pct"/>
            <w:tcBorders>
              <w:top w:val="nil"/>
              <w:left w:val="nil"/>
              <w:bottom w:val="nil"/>
              <w:right w:val="nil"/>
            </w:tcBorders>
            <w:noWrap/>
            <w:vAlign w:val="bottom"/>
            <w:hideMark/>
          </w:tcPr>
          <w:p w14:paraId="68F65AF7"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44</w:t>
            </w:r>
          </w:p>
        </w:tc>
      </w:tr>
      <w:tr w:rsidR="00525DB7" w:rsidRPr="00525DB7" w14:paraId="44D9DBA4" w14:textId="77777777" w:rsidTr="006E7F5C">
        <w:trPr>
          <w:trHeight w:val="300"/>
        </w:trPr>
        <w:tc>
          <w:tcPr>
            <w:tcW w:w="563" w:type="pct"/>
            <w:tcBorders>
              <w:top w:val="nil"/>
              <w:left w:val="nil"/>
              <w:bottom w:val="nil"/>
              <w:right w:val="nil"/>
            </w:tcBorders>
            <w:shd w:val="clear" w:color="000000" w:fill="D9D9D9"/>
            <w:noWrap/>
            <w:vAlign w:val="bottom"/>
            <w:hideMark/>
          </w:tcPr>
          <w:p w14:paraId="581F89D5"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FOV</w:t>
            </w:r>
          </w:p>
        </w:tc>
        <w:tc>
          <w:tcPr>
            <w:tcW w:w="602" w:type="pct"/>
            <w:tcBorders>
              <w:top w:val="nil"/>
              <w:left w:val="nil"/>
              <w:bottom w:val="nil"/>
              <w:right w:val="nil"/>
            </w:tcBorders>
            <w:noWrap/>
            <w:vAlign w:val="bottom"/>
            <w:hideMark/>
          </w:tcPr>
          <w:p w14:paraId="4CF793E2"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220</w:t>
            </w:r>
          </w:p>
        </w:tc>
        <w:tc>
          <w:tcPr>
            <w:tcW w:w="563" w:type="pct"/>
            <w:tcBorders>
              <w:top w:val="nil"/>
              <w:left w:val="nil"/>
              <w:bottom w:val="nil"/>
              <w:right w:val="nil"/>
            </w:tcBorders>
            <w:noWrap/>
            <w:vAlign w:val="bottom"/>
            <w:hideMark/>
          </w:tcPr>
          <w:p w14:paraId="50F12755"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220</w:t>
            </w:r>
          </w:p>
        </w:tc>
        <w:tc>
          <w:tcPr>
            <w:tcW w:w="1138" w:type="pct"/>
            <w:tcBorders>
              <w:top w:val="nil"/>
              <w:left w:val="nil"/>
              <w:bottom w:val="nil"/>
              <w:right w:val="nil"/>
            </w:tcBorders>
            <w:noWrap/>
            <w:vAlign w:val="bottom"/>
            <w:hideMark/>
          </w:tcPr>
          <w:p w14:paraId="4E7EC6BD"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270</w:t>
            </w:r>
          </w:p>
        </w:tc>
        <w:tc>
          <w:tcPr>
            <w:tcW w:w="414" w:type="pct"/>
            <w:tcBorders>
              <w:top w:val="nil"/>
              <w:left w:val="nil"/>
              <w:bottom w:val="nil"/>
              <w:right w:val="nil"/>
            </w:tcBorders>
            <w:noWrap/>
            <w:vAlign w:val="bottom"/>
            <w:hideMark/>
          </w:tcPr>
          <w:p w14:paraId="709B18D9"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220</w:t>
            </w:r>
          </w:p>
        </w:tc>
        <w:tc>
          <w:tcPr>
            <w:tcW w:w="847" w:type="pct"/>
            <w:tcBorders>
              <w:top w:val="nil"/>
              <w:left w:val="nil"/>
              <w:bottom w:val="nil"/>
              <w:right w:val="nil"/>
            </w:tcBorders>
            <w:noWrap/>
            <w:vAlign w:val="bottom"/>
            <w:hideMark/>
          </w:tcPr>
          <w:p w14:paraId="09153505"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212</w:t>
            </w:r>
          </w:p>
        </w:tc>
        <w:tc>
          <w:tcPr>
            <w:tcW w:w="873" w:type="pct"/>
            <w:tcBorders>
              <w:top w:val="nil"/>
              <w:left w:val="nil"/>
              <w:bottom w:val="nil"/>
              <w:right w:val="nil"/>
            </w:tcBorders>
            <w:noWrap/>
            <w:vAlign w:val="bottom"/>
            <w:hideMark/>
          </w:tcPr>
          <w:p w14:paraId="0D9FC1C8"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240</w:t>
            </w:r>
          </w:p>
        </w:tc>
      </w:tr>
      <w:tr w:rsidR="00525DB7" w:rsidRPr="00525DB7" w14:paraId="092AAAE0" w14:textId="77777777" w:rsidTr="006E7F5C">
        <w:trPr>
          <w:trHeight w:val="300"/>
        </w:trPr>
        <w:tc>
          <w:tcPr>
            <w:tcW w:w="563" w:type="pct"/>
            <w:tcBorders>
              <w:top w:val="nil"/>
              <w:left w:val="nil"/>
              <w:bottom w:val="nil"/>
              <w:right w:val="nil"/>
            </w:tcBorders>
            <w:shd w:val="clear" w:color="000000" w:fill="D9D9D9"/>
            <w:noWrap/>
            <w:vAlign w:val="bottom"/>
            <w:hideMark/>
          </w:tcPr>
          <w:p w14:paraId="74CBEF14"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Slice Thickness</w:t>
            </w:r>
          </w:p>
        </w:tc>
        <w:tc>
          <w:tcPr>
            <w:tcW w:w="602" w:type="pct"/>
            <w:tcBorders>
              <w:top w:val="nil"/>
              <w:left w:val="nil"/>
              <w:bottom w:val="nil"/>
              <w:right w:val="nil"/>
            </w:tcBorders>
            <w:noWrap/>
            <w:vAlign w:val="bottom"/>
            <w:hideMark/>
          </w:tcPr>
          <w:p w14:paraId="4E9FBD90"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4</w:t>
            </w:r>
          </w:p>
        </w:tc>
        <w:tc>
          <w:tcPr>
            <w:tcW w:w="563" w:type="pct"/>
            <w:tcBorders>
              <w:top w:val="nil"/>
              <w:left w:val="nil"/>
              <w:bottom w:val="nil"/>
              <w:right w:val="nil"/>
            </w:tcBorders>
            <w:noWrap/>
            <w:vAlign w:val="bottom"/>
            <w:hideMark/>
          </w:tcPr>
          <w:p w14:paraId="61381B59"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5</w:t>
            </w:r>
          </w:p>
        </w:tc>
        <w:tc>
          <w:tcPr>
            <w:tcW w:w="1138" w:type="pct"/>
            <w:tcBorders>
              <w:top w:val="nil"/>
              <w:left w:val="nil"/>
              <w:bottom w:val="nil"/>
              <w:right w:val="nil"/>
            </w:tcBorders>
            <w:noWrap/>
            <w:vAlign w:val="bottom"/>
            <w:hideMark/>
          </w:tcPr>
          <w:p w14:paraId="407DFD99"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1.2</w:t>
            </w:r>
          </w:p>
        </w:tc>
        <w:tc>
          <w:tcPr>
            <w:tcW w:w="414" w:type="pct"/>
            <w:tcBorders>
              <w:top w:val="nil"/>
              <w:left w:val="nil"/>
              <w:bottom w:val="nil"/>
              <w:right w:val="nil"/>
            </w:tcBorders>
            <w:noWrap/>
            <w:vAlign w:val="bottom"/>
            <w:hideMark/>
          </w:tcPr>
          <w:p w14:paraId="3C76AF5F"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4</w:t>
            </w:r>
          </w:p>
        </w:tc>
        <w:tc>
          <w:tcPr>
            <w:tcW w:w="847" w:type="pct"/>
            <w:tcBorders>
              <w:top w:val="nil"/>
              <w:left w:val="nil"/>
              <w:bottom w:val="nil"/>
              <w:right w:val="nil"/>
            </w:tcBorders>
            <w:noWrap/>
            <w:vAlign w:val="bottom"/>
            <w:hideMark/>
          </w:tcPr>
          <w:p w14:paraId="3032B2B8"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3.3</w:t>
            </w:r>
          </w:p>
        </w:tc>
        <w:tc>
          <w:tcPr>
            <w:tcW w:w="873" w:type="pct"/>
            <w:tcBorders>
              <w:top w:val="nil"/>
              <w:left w:val="nil"/>
              <w:bottom w:val="nil"/>
              <w:right w:val="nil"/>
            </w:tcBorders>
            <w:noWrap/>
            <w:vAlign w:val="bottom"/>
            <w:hideMark/>
          </w:tcPr>
          <w:p w14:paraId="23FF0334"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4</w:t>
            </w:r>
          </w:p>
        </w:tc>
      </w:tr>
      <w:tr w:rsidR="00525DB7" w:rsidRPr="00525DB7" w14:paraId="3FADA485" w14:textId="77777777" w:rsidTr="006E7F5C">
        <w:trPr>
          <w:trHeight w:val="300"/>
        </w:trPr>
        <w:tc>
          <w:tcPr>
            <w:tcW w:w="563" w:type="pct"/>
            <w:tcBorders>
              <w:top w:val="nil"/>
              <w:left w:val="nil"/>
              <w:bottom w:val="nil"/>
              <w:right w:val="nil"/>
            </w:tcBorders>
            <w:shd w:val="clear" w:color="000000" w:fill="D9D9D9"/>
            <w:noWrap/>
            <w:vAlign w:val="bottom"/>
            <w:hideMark/>
          </w:tcPr>
          <w:p w14:paraId="44EA03B4"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TR</w:t>
            </w:r>
          </w:p>
        </w:tc>
        <w:tc>
          <w:tcPr>
            <w:tcW w:w="602" w:type="pct"/>
            <w:tcBorders>
              <w:top w:val="nil"/>
              <w:left w:val="nil"/>
              <w:bottom w:val="nil"/>
              <w:right w:val="nil"/>
            </w:tcBorders>
            <w:noWrap/>
            <w:vAlign w:val="bottom"/>
            <w:hideMark/>
          </w:tcPr>
          <w:p w14:paraId="609CF04C"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650</w:t>
            </w:r>
          </w:p>
        </w:tc>
        <w:tc>
          <w:tcPr>
            <w:tcW w:w="563" w:type="pct"/>
            <w:tcBorders>
              <w:top w:val="nil"/>
              <w:left w:val="nil"/>
              <w:bottom w:val="nil"/>
              <w:right w:val="nil"/>
            </w:tcBorders>
            <w:noWrap/>
            <w:vAlign w:val="bottom"/>
            <w:hideMark/>
          </w:tcPr>
          <w:p w14:paraId="7FBB80A0"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9000</w:t>
            </w:r>
          </w:p>
        </w:tc>
        <w:tc>
          <w:tcPr>
            <w:tcW w:w="1138" w:type="pct"/>
            <w:tcBorders>
              <w:top w:val="nil"/>
              <w:left w:val="nil"/>
              <w:bottom w:val="nil"/>
              <w:right w:val="nil"/>
            </w:tcBorders>
            <w:noWrap/>
            <w:vAlign w:val="bottom"/>
            <w:hideMark/>
          </w:tcPr>
          <w:p w14:paraId="57428557"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2300</w:t>
            </w:r>
          </w:p>
        </w:tc>
        <w:tc>
          <w:tcPr>
            <w:tcW w:w="414" w:type="pct"/>
            <w:tcBorders>
              <w:top w:val="nil"/>
              <w:left w:val="nil"/>
              <w:bottom w:val="nil"/>
              <w:right w:val="nil"/>
            </w:tcBorders>
            <w:noWrap/>
            <w:vAlign w:val="bottom"/>
            <w:hideMark/>
          </w:tcPr>
          <w:p w14:paraId="2E02472E"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10100</w:t>
            </w:r>
          </w:p>
        </w:tc>
        <w:tc>
          <w:tcPr>
            <w:tcW w:w="847" w:type="pct"/>
            <w:tcBorders>
              <w:top w:val="nil"/>
              <w:left w:val="nil"/>
              <w:bottom w:val="nil"/>
              <w:right w:val="nil"/>
            </w:tcBorders>
            <w:noWrap/>
            <w:vAlign w:val="bottom"/>
            <w:hideMark/>
          </w:tcPr>
          <w:p w14:paraId="28716AC2"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3000</w:t>
            </w:r>
          </w:p>
        </w:tc>
        <w:tc>
          <w:tcPr>
            <w:tcW w:w="873" w:type="pct"/>
            <w:tcBorders>
              <w:top w:val="nil"/>
              <w:left w:val="nil"/>
              <w:bottom w:val="nil"/>
              <w:right w:val="nil"/>
            </w:tcBorders>
            <w:noWrap/>
            <w:vAlign w:val="bottom"/>
            <w:hideMark/>
          </w:tcPr>
          <w:p w14:paraId="22194D0D"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4000</w:t>
            </w:r>
          </w:p>
        </w:tc>
      </w:tr>
      <w:tr w:rsidR="00525DB7" w:rsidRPr="00525DB7" w14:paraId="400DA738" w14:textId="77777777" w:rsidTr="006E7F5C">
        <w:trPr>
          <w:trHeight w:val="300"/>
        </w:trPr>
        <w:tc>
          <w:tcPr>
            <w:tcW w:w="563" w:type="pct"/>
            <w:tcBorders>
              <w:top w:val="nil"/>
              <w:left w:val="nil"/>
              <w:bottom w:val="nil"/>
              <w:right w:val="nil"/>
            </w:tcBorders>
            <w:shd w:val="clear" w:color="000000" w:fill="D9D9D9"/>
            <w:noWrap/>
            <w:vAlign w:val="bottom"/>
            <w:hideMark/>
          </w:tcPr>
          <w:p w14:paraId="038D5005"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TE</w:t>
            </w:r>
          </w:p>
        </w:tc>
        <w:tc>
          <w:tcPr>
            <w:tcW w:w="602" w:type="pct"/>
            <w:tcBorders>
              <w:top w:val="nil"/>
              <w:left w:val="nil"/>
              <w:bottom w:val="nil"/>
              <w:right w:val="nil"/>
            </w:tcBorders>
            <w:noWrap/>
            <w:vAlign w:val="bottom"/>
            <w:hideMark/>
          </w:tcPr>
          <w:p w14:paraId="5F439127"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20</w:t>
            </w:r>
          </w:p>
        </w:tc>
        <w:tc>
          <w:tcPr>
            <w:tcW w:w="563" w:type="pct"/>
            <w:tcBorders>
              <w:top w:val="nil"/>
              <w:left w:val="nil"/>
              <w:bottom w:val="nil"/>
              <w:right w:val="nil"/>
            </w:tcBorders>
            <w:noWrap/>
            <w:vAlign w:val="bottom"/>
            <w:hideMark/>
          </w:tcPr>
          <w:p w14:paraId="3E246DFE"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91</w:t>
            </w:r>
          </w:p>
        </w:tc>
        <w:tc>
          <w:tcPr>
            <w:tcW w:w="1138" w:type="pct"/>
            <w:tcBorders>
              <w:top w:val="nil"/>
              <w:left w:val="nil"/>
              <w:bottom w:val="nil"/>
              <w:right w:val="nil"/>
            </w:tcBorders>
            <w:noWrap/>
            <w:vAlign w:val="bottom"/>
            <w:hideMark/>
          </w:tcPr>
          <w:p w14:paraId="169C8789"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2.95</w:t>
            </w:r>
          </w:p>
        </w:tc>
        <w:tc>
          <w:tcPr>
            <w:tcW w:w="414" w:type="pct"/>
            <w:tcBorders>
              <w:top w:val="nil"/>
              <w:left w:val="nil"/>
              <w:bottom w:val="nil"/>
              <w:right w:val="nil"/>
            </w:tcBorders>
            <w:noWrap/>
            <w:vAlign w:val="bottom"/>
            <w:hideMark/>
          </w:tcPr>
          <w:p w14:paraId="0E085995"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100</w:t>
            </w:r>
          </w:p>
        </w:tc>
        <w:tc>
          <w:tcPr>
            <w:tcW w:w="847" w:type="pct"/>
            <w:tcBorders>
              <w:top w:val="nil"/>
              <w:left w:val="nil"/>
              <w:bottom w:val="nil"/>
              <w:right w:val="nil"/>
            </w:tcBorders>
            <w:noWrap/>
            <w:vAlign w:val="bottom"/>
            <w:hideMark/>
          </w:tcPr>
          <w:p w14:paraId="71614F31"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30</w:t>
            </w:r>
          </w:p>
        </w:tc>
        <w:tc>
          <w:tcPr>
            <w:tcW w:w="873" w:type="pct"/>
            <w:tcBorders>
              <w:top w:val="nil"/>
              <w:left w:val="nil"/>
              <w:bottom w:val="nil"/>
              <w:right w:val="nil"/>
            </w:tcBorders>
            <w:noWrap/>
            <w:vAlign w:val="bottom"/>
            <w:hideMark/>
          </w:tcPr>
          <w:p w14:paraId="3D27EF21"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78</w:t>
            </w:r>
          </w:p>
        </w:tc>
      </w:tr>
      <w:tr w:rsidR="00525DB7" w:rsidRPr="00525DB7" w14:paraId="40F7111C" w14:textId="77777777" w:rsidTr="006E7F5C">
        <w:trPr>
          <w:trHeight w:val="300"/>
        </w:trPr>
        <w:tc>
          <w:tcPr>
            <w:tcW w:w="563" w:type="pct"/>
            <w:tcBorders>
              <w:top w:val="nil"/>
              <w:left w:val="nil"/>
              <w:bottom w:val="nil"/>
              <w:right w:val="nil"/>
            </w:tcBorders>
            <w:shd w:val="clear" w:color="000000" w:fill="D9D9D9"/>
            <w:noWrap/>
            <w:vAlign w:val="bottom"/>
            <w:hideMark/>
          </w:tcPr>
          <w:p w14:paraId="66D4EE33"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Avg</w:t>
            </w:r>
          </w:p>
        </w:tc>
        <w:tc>
          <w:tcPr>
            <w:tcW w:w="602" w:type="pct"/>
            <w:tcBorders>
              <w:top w:val="nil"/>
              <w:left w:val="nil"/>
              <w:bottom w:val="nil"/>
              <w:right w:val="nil"/>
            </w:tcBorders>
            <w:noWrap/>
            <w:vAlign w:val="bottom"/>
            <w:hideMark/>
          </w:tcPr>
          <w:p w14:paraId="11C31916"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w:t>
            </w:r>
          </w:p>
        </w:tc>
        <w:tc>
          <w:tcPr>
            <w:tcW w:w="563" w:type="pct"/>
            <w:tcBorders>
              <w:top w:val="nil"/>
              <w:left w:val="nil"/>
              <w:bottom w:val="nil"/>
              <w:right w:val="nil"/>
            </w:tcBorders>
            <w:noWrap/>
            <w:vAlign w:val="bottom"/>
            <w:hideMark/>
          </w:tcPr>
          <w:p w14:paraId="04A60C74"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w:t>
            </w:r>
          </w:p>
        </w:tc>
        <w:tc>
          <w:tcPr>
            <w:tcW w:w="1138" w:type="pct"/>
            <w:tcBorders>
              <w:top w:val="nil"/>
              <w:left w:val="nil"/>
              <w:bottom w:val="nil"/>
              <w:right w:val="nil"/>
            </w:tcBorders>
            <w:noWrap/>
            <w:vAlign w:val="bottom"/>
            <w:hideMark/>
          </w:tcPr>
          <w:p w14:paraId="71387F1A"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w:t>
            </w:r>
          </w:p>
        </w:tc>
        <w:tc>
          <w:tcPr>
            <w:tcW w:w="414" w:type="pct"/>
            <w:tcBorders>
              <w:top w:val="nil"/>
              <w:left w:val="nil"/>
              <w:bottom w:val="nil"/>
              <w:right w:val="nil"/>
            </w:tcBorders>
            <w:noWrap/>
            <w:vAlign w:val="bottom"/>
            <w:hideMark/>
          </w:tcPr>
          <w:p w14:paraId="1F70F4CB"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4</w:t>
            </w:r>
          </w:p>
        </w:tc>
        <w:tc>
          <w:tcPr>
            <w:tcW w:w="847" w:type="pct"/>
            <w:tcBorders>
              <w:top w:val="nil"/>
              <w:left w:val="nil"/>
              <w:bottom w:val="nil"/>
              <w:right w:val="nil"/>
            </w:tcBorders>
            <w:noWrap/>
            <w:vAlign w:val="bottom"/>
            <w:hideMark/>
          </w:tcPr>
          <w:p w14:paraId="4B6BDC3F"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w:t>
            </w:r>
          </w:p>
        </w:tc>
        <w:tc>
          <w:tcPr>
            <w:tcW w:w="873" w:type="pct"/>
            <w:tcBorders>
              <w:top w:val="nil"/>
              <w:left w:val="nil"/>
              <w:bottom w:val="nil"/>
              <w:right w:val="nil"/>
            </w:tcBorders>
            <w:noWrap/>
            <w:vAlign w:val="bottom"/>
            <w:hideMark/>
          </w:tcPr>
          <w:p w14:paraId="03ED4830"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w:t>
            </w:r>
          </w:p>
        </w:tc>
      </w:tr>
      <w:tr w:rsidR="00525DB7" w:rsidRPr="00525DB7" w14:paraId="6747E878" w14:textId="77777777" w:rsidTr="006E7F5C">
        <w:trPr>
          <w:trHeight w:val="300"/>
        </w:trPr>
        <w:tc>
          <w:tcPr>
            <w:tcW w:w="563" w:type="pct"/>
            <w:tcBorders>
              <w:top w:val="nil"/>
              <w:left w:val="nil"/>
              <w:bottom w:val="nil"/>
              <w:right w:val="nil"/>
            </w:tcBorders>
            <w:shd w:val="clear" w:color="000000" w:fill="D9D9D9"/>
            <w:noWrap/>
            <w:vAlign w:val="bottom"/>
            <w:hideMark/>
          </w:tcPr>
          <w:p w14:paraId="61583770"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Flip</w:t>
            </w:r>
          </w:p>
        </w:tc>
        <w:tc>
          <w:tcPr>
            <w:tcW w:w="602" w:type="pct"/>
            <w:tcBorders>
              <w:top w:val="nil"/>
              <w:left w:val="nil"/>
              <w:bottom w:val="nil"/>
              <w:right w:val="nil"/>
            </w:tcBorders>
            <w:noWrap/>
            <w:vAlign w:val="bottom"/>
            <w:hideMark/>
          </w:tcPr>
          <w:p w14:paraId="10539C7B"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20</w:t>
            </w:r>
          </w:p>
        </w:tc>
        <w:tc>
          <w:tcPr>
            <w:tcW w:w="563" w:type="pct"/>
            <w:tcBorders>
              <w:top w:val="nil"/>
              <w:left w:val="nil"/>
              <w:bottom w:val="nil"/>
              <w:right w:val="nil"/>
            </w:tcBorders>
            <w:noWrap/>
            <w:vAlign w:val="bottom"/>
            <w:hideMark/>
          </w:tcPr>
          <w:p w14:paraId="72A6D786"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150</w:t>
            </w:r>
          </w:p>
        </w:tc>
        <w:tc>
          <w:tcPr>
            <w:tcW w:w="1138" w:type="pct"/>
            <w:tcBorders>
              <w:top w:val="nil"/>
              <w:left w:val="nil"/>
              <w:bottom w:val="nil"/>
              <w:right w:val="nil"/>
            </w:tcBorders>
            <w:noWrap/>
            <w:vAlign w:val="bottom"/>
            <w:hideMark/>
          </w:tcPr>
          <w:p w14:paraId="05A71C68"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9</w:t>
            </w:r>
          </w:p>
        </w:tc>
        <w:tc>
          <w:tcPr>
            <w:tcW w:w="414" w:type="pct"/>
            <w:tcBorders>
              <w:top w:val="nil"/>
              <w:left w:val="nil"/>
              <w:bottom w:val="nil"/>
              <w:right w:val="nil"/>
            </w:tcBorders>
            <w:noWrap/>
            <w:vAlign w:val="bottom"/>
            <w:hideMark/>
          </w:tcPr>
          <w:p w14:paraId="76F96478"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n/a</w:t>
            </w:r>
          </w:p>
        </w:tc>
        <w:tc>
          <w:tcPr>
            <w:tcW w:w="847" w:type="pct"/>
            <w:tcBorders>
              <w:top w:val="nil"/>
              <w:left w:val="nil"/>
              <w:bottom w:val="nil"/>
              <w:right w:val="nil"/>
            </w:tcBorders>
            <w:noWrap/>
            <w:vAlign w:val="bottom"/>
            <w:hideMark/>
          </w:tcPr>
          <w:p w14:paraId="5890539E"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80</w:t>
            </w:r>
          </w:p>
        </w:tc>
        <w:tc>
          <w:tcPr>
            <w:tcW w:w="873" w:type="pct"/>
            <w:tcBorders>
              <w:top w:val="nil"/>
              <w:left w:val="nil"/>
              <w:bottom w:val="nil"/>
              <w:right w:val="nil"/>
            </w:tcBorders>
            <w:noWrap/>
            <w:vAlign w:val="bottom"/>
            <w:hideMark/>
          </w:tcPr>
          <w:p w14:paraId="33E4B030"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150</w:t>
            </w:r>
          </w:p>
        </w:tc>
      </w:tr>
      <w:tr w:rsidR="00525DB7" w:rsidRPr="00525DB7" w14:paraId="2FED64D3" w14:textId="77777777" w:rsidTr="006E7F5C">
        <w:trPr>
          <w:trHeight w:val="300"/>
        </w:trPr>
        <w:tc>
          <w:tcPr>
            <w:tcW w:w="563" w:type="pct"/>
            <w:tcBorders>
              <w:top w:val="nil"/>
              <w:left w:val="nil"/>
              <w:bottom w:val="nil"/>
              <w:right w:val="nil"/>
            </w:tcBorders>
            <w:shd w:val="clear" w:color="000000" w:fill="D9D9D9"/>
            <w:noWrap/>
            <w:vAlign w:val="bottom"/>
            <w:hideMark/>
          </w:tcPr>
          <w:p w14:paraId="4CAE24ED"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TI</w:t>
            </w:r>
          </w:p>
        </w:tc>
        <w:tc>
          <w:tcPr>
            <w:tcW w:w="602" w:type="pct"/>
            <w:tcBorders>
              <w:top w:val="nil"/>
              <w:left w:val="nil"/>
              <w:bottom w:val="nil"/>
              <w:right w:val="nil"/>
            </w:tcBorders>
            <w:noWrap/>
            <w:vAlign w:val="bottom"/>
            <w:hideMark/>
          </w:tcPr>
          <w:p w14:paraId="4FCB7010"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n/a</w:t>
            </w:r>
          </w:p>
        </w:tc>
        <w:tc>
          <w:tcPr>
            <w:tcW w:w="563" w:type="pct"/>
            <w:tcBorders>
              <w:top w:val="nil"/>
              <w:left w:val="nil"/>
              <w:bottom w:val="nil"/>
              <w:right w:val="nil"/>
            </w:tcBorders>
            <w:noWrap/>
            <w:vAlign w:val="bottom"/>
            <w:hideMark/>
          </w:tcPr>
          <w:p w14:paraId="4A96F918"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2500</w:t>
            </w:r>
          </w:p>
        </w:tc>
        <w:tc>
          <w:tcPr>
            <w:tcW w:w="1138" w:type="pct"/>
            <w:tcBorders>
              <w:top w:val="nil"/>
              <w:left w:val="nil"/>
              <w:bottom w:val="nil"/>
              <w:right w:val="nil"/>
            </w:tcBorders>
            <w:noWrap/>
            <w:vAlign w:val="bottom"/>
            <w:hideMark/>
          </w:tcPr>
          <w:p w14:paraId="1CDEDB0C"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900</w:t>
            </w:r>
          </w:p>
        </w:tc>
        <w:tc>
          <w:tcPr>
            <w:tcW w:w="414" w:type="pct"/>
            <w:tcBorders>
              <w:top w:val="nil"/>
              <w:left w:val="nil"/>
              <w:bottom w:val="nil"/>
              <w:right w:val="nil"/>
            </w:tcBorders>
            <w:noWrap/>
            <w:vAlign w:val="bottom"/>
            <w:hideMark/>
          </w:tcPr>
          <w:p w14:paraId="2C862038"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n/a</w:t>
            </w:r>
          </w:p>
        </w:tc>
        <w:tc>
          <w:tcPr>
            <w:tcW w:w="847" w:type="pct"/>
            <w:tcBorders>
              <w:top w:val="nil"/>
              <w:left w:val="nil"/>
              <w:bottom w:val="nil"/>
              <w:right w:val="nil"/>
            </w:tcBorders>
            <w:noWrap/>
            <w:vAlign w:val="bottom"/>
            <w:hideMark/>
          </w:tcPr>
          <w:p w14:paraId="308EDB69"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n/a</w:t>
            </w:r>
          </w:p>
        </w:tc>
        <w:tc>
          <w:tcPr>
            <w:tcW w:w="873" w:type="pct"/>
            <w:tcBorders>
              <w:top w:val="nil"/>
              <w:left w:val="nil"/>
              <w:bottom w:val="nil"/>
              <w:right w:val="nil"/>
            </w:tcBorders>
            <w:noWrap/>
            <w:vAlign w:val="bottom"/>
            <w:hideMark/>
          </w:tcPr>
          <w:p w14:paraId="73842787"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n/a</w:t>
            </w:r>
          </w:p>
        </w:tc>
      </w:tr>
      <w:tr w:rsidR="00525DB7" w:rsidRPr="00525DB7" w14:paraId="3E9F2BF6" w14:textId="77777777" w:rsidTr="006E7F5C">
        <w:trPr>
          <w:trHeight w:val="300"/>
        </w:trPr>
        <w:tc>
          <w:tcPr>
            <w:tcW w:w="563" w:type="pct"/>
            <w:tcBorders>
              <w:top w:val="nil"/>
              <w:left w:val="nil"/>
              <w:bottom w:val="nil"/>
              <w:right w:val="nil"/>
            </w:tcBorders>
            <w:shd w:val="clear" w:color="000000" w:fill="D9D9D9"/>
            <w:noWrap/>
            <w:vAlign w:val="bottom"/>
            <w:hideMark/>
          </w:tcPr>
          <w:p w14:paraId="4141B304" w14:textId="77777777" w:rsidR="00525DB7" w:rsidRPr="00525DB7" w:rsidRDefault="00525DB7" w:rsidP="00525DB7">
            <w:pPr>
              <w:spacing w:after="0" w:line="240" w:lineRule="auto"/>
              <w:rPr>
                <w:rFonts w:ascii="Aptos Narrow" w:eastAsia="Times New Roman" w:hAnsi="Aptos Narrow" w:cs="Times New Roman"/>
                <w:b/>
                <w:bCs/>
                <w:color w:val="000000"/>
                <w:kern w:val="0"/>
                <w:sz w:val="22"/>
                <w:szCs w:val="22"/>
                <w14:ligatures w14:val="none"/>
              </w:rPr>
            </w:pPr>
            <w:r w:rsidRPr="00525DB7">
              <w:rPr>
                <w:rFonts w:ascii="Aptos Narrow" w:eastAsia="Times New Roman" w:hAnsi="Aptos Narrow" w:cs="Times New Roman"/>
                <w:b/>
                <w:bCs/>
                <w:color w:val="000000"/>
                <w:kern w:val="0"/>
                <w:sz w:val="22"/>
                <w:szCs w:val="22"/>
                <w14:ligatures w14:val="none"/>
              </w:rPr>
              <w:t>Matrix</w:t>
            </w:r>
          </w:p>
        </w:tc>
        <w:tc>
          <w:tcPr>
            <w:tcW w:w="602" w:type="pct"/>
            <w:tcBorders>
              <w:top w:val="nil"/>
              <w:left w:val="nil"/>
              <w:bottom w:val="nil"/>
              <w:right w:val="nil"/>
            </w:tcBorders>
            <w:noWrap/>
            <w:vAlign w:val="bottom"/>
            <w:hideMark/>
          </w:tcPr>
          <w:p w14:paraId="107D7B6B"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256x192</w:t>
            </w:r>
          </w:p>
        </w:tc>
        <w:tc>
          <w:tcPr>
            <w:tcW w:w="563" w:type="pct"/>
            <w:tcBorders>
              <w:top w:val="nil"/>
              <w:left w:val="nil"/>
              <w:bottom w:val="nil"/>
              <w:right w:val="nil"/>
            </w:tcBorders>
            <w:noWrap/>
            <w:vAlign w:val="bottom"/>
            <w:hideMark/>
          </w:tcPr>
          <w:p w14:paraId="38F47EFB"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256x256</w:t>
            </w:r>
          </w:p>
        </w:tc>
        <w:tc>
          <w:tcPr>
            <w:tcW w:w="1138" w:type="pct"/>
            <w:tcBorders>
              <w:top w:val="nil"/>
              <w:left w:val="nil"/>
              <w:bottom w:val="nil"/>
              <w:right w:val="nil"/>
            </w:tcBorders>
            <w:noWrap/>
            <w:vAlign w:val="bottom"/>
            <w:hideMark/>
          </w:tcPr>
          <w:p w14:paraId="16B82520"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256x256</w:t>
            </w:r>
          </w:p>
        </w:tc>
        <w:tc>
          <w:tcPr>
            <w:tcW w:w="414" w:type="pct"/>
            <w:tcBorders>
              <w:top w:val="nil"/>
              <w:left w:val="nil"/>
              <w:bottom w:val="nil"/>
              <w:right w:val="nil"/>
            </w:tcBorders>
            <w:noWrap/>
            <w:vAlign w:val="bottom"/>
            <w:hideMark/>
          </w:tcPr>
          <w:p w14:paraId="3174EA1C"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192x192</w:t>
            </w:r>
          </w:p>
        </w:tc>
        <w:tc>
          <w:tcPr>
            <w:tcW w:w="847" w:type="pct"/>
            <w:tcBorders>
              <w:top w:val="nil"/>
              <w:left w:val="nil"/>
              <w:bottom w:val="nil"/>
              <w:right w:val="nil"/>
            </w:tcBorders>
            <w:noWrap/>
            <w:vAlign w:val="bottom"/>
            <w:hideMark/>
          </w:tcPr>
          <w:p w14:paraId="6D45F176"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64x64</w:t>
            </w:r>
          </w:p>
        </w:tc>
        <w:tc>
          <w:tcPr>
            <w:tcW w:w="873" w:type="pct"/>
            <w:tcBorders>
              <w:top w:val="nil"/>
              <w:left w:val="nil"/>
              <w:bottom w:val="nil"/>
              <w:right w:val="nil"/>
            </w:tcBorders>
            <w:noWrap/>
            <w:vAlign w:val="bottom"/>
            <w:hideMark/>
          </w:tcPr>
          <w:p w14:paraId="2F4D2C09" w14:textId="77777777" w:rsidR="00525DB7" w:rsidRPr="00525DB7" w:rsidRDefault="00525DB7" w:rsidP="00525DB7">
            <w:pPr>
              <w:spacing w:after="0" w:line="240" w:lineRule="auto"/>
              <w:jc w:val="center"/>
              <w:rPr>
                <w:rFonts w:ascii="Aptos Narrow" w:eastAsia="Times New Roman" w:hAnsi="Aptos Narrow" w:cs="Times New Roman"/>
                <w:color w:val="000000"/>
                <w:kern w:val="0"/>
                <w:sz w:val="22"/>
                <w:szCs w:val="22"/>
                <w14:ligatures w14:val="none"/>
              </w:rPr>
            </w:pPr>
            <w:r w:rsidRPr="00525DB7">
              <w:rPr>
                <w:rFonts w:ascii="Aptos Narrow" w:eastAsia="Times New Roman" w:hAnsi="Aptos Narrow" w:cs="Times New Roman"/>
                <w:color w:val="000000"/>
                <w:kern w:val="0"/>
                <w:sz w:val="22"/>
                <w:szCs w:val="22"/>
                <w14:ligatures w14:val="none"/>
              </w:rPr>
              <w:t>256x224</w:t>
            </w:r>
          </w:p>
        </w:tc>
      </w:tr>
    </w:tbl>
    <w:p w14:paraId="6E43EB36" w14:textId="77777777" w:rsidR="00525DB7" w:rsidRPr="00C76F28" w:rsidRDefault="00525DB7" w:rsidP="003135E7">
      <w:pPr>
        <w:rPr>
          <w:rFonts w:ascii="Arial" w:hAnsi="Arial" w:cs="Arial"/>
          <w:sz w:val="22"/>
          <w:szCs w:val="22"/>
        </w:rPr>
      </w:pPr>
    </w:p>
    <w:p w14:paraId="35CB0263" w14:textId="78CC7C1E" w:rsidR="00D10DC6" w:rsidRPr="00C76F28" w:rsidRDefault="00D10DC6" w:rsidP="003135E7">
      <w:pPr>
        <w:rPr>
          <w:rFonts w:ascii="Arial" w:hAnsi="Arial" w:cs="Arial"/>
          <w:sz w:val="22"/>
          <w:szCs w:val="22"/>
        </w:rPr>
      </w:pPr>
      <w:r w:rsidRPr="00C76F28">
        <w:rPr>
          <w:rFonts w:ascii="Arial" w:hAnsi="Arial" w:cs="Arial"/>
          <w:b/>
          <w:bCs/>
          <w:sz w:val="22"/>
          <w:szCs w:val="22"/>
        </w:rPr>
        <w:t>Acquisition Geometry Requirements:</w:t>
      </w:r>
      <w:r w:rsidRPr="00C76F28">
        <w:rPr>
          <w:rFonts w:ascii="Arial" w:hAnsi="Arial" w:cs="Arial"/>
          <w:sz w:val="22"/>
          <w:szCs w:val="22"/>
        </w:rPr>
        <w:t xml:space="preserve"> </w:t>
      </w:r>
      <w:r w:rsidR="001D6C15" w:rsidRPr="00C76F28">
        <w:rPr>
          <w:rFonts w:ascii="Arial" w:hAnsi="Arial" w:cs="Arial"/>
          <w:sz w:val="22"/>
          <w:szCs w:val="22"/>
        </w:rPr>
        <w:t>All scans were acquired in either the straight axial or straight sagittal plane, with no oblique angulation permitted under any circumstances. Coverage included the entire brain from the inferior cerebellum to the vertex, and for MPRAGE acquisitions the nose was included in the field of view to prevent image</w:t>
      </w:r>
      <w:r w:rsidR="001D6C15" w:rsidRPr="00C76F28">
        <w:rPr>
          <w:rFonts w:ascii="Cambria Math" w:hAnsi="Cambria Math" w:cs="Cambria Math"/>
          <w:sz w:val="22"/>
          <w:szCs w:val="22"/>
        </w:rPr>
        <w:t>‑</w:t>
      </w:r>
      <w:r w:rsidR="001D6C15" w:rsidRPr="00C76F28">
        <w:rPr>
          <w:rFonts w:ascii="Arial" w:hAnsi="Arial" w:cs="Arial"/>
          <w:sz w:val="22"/>
          <w:szCs w:val="22"/>
        </w:rPr>
        <w:t>folding artifacts.</w:t>
      </w:r>
    </w:p>
    <w:p w14:paraId="482753ED" w14:textId="490E21B3" w:rsidR="00D10DC6" w:rsidRPr="00C76F28" w:rsidRDefault="00D10DC6" w:rsidP="003135E7">
      <w:pPr>
        <w:rPr>
          <w:rFonts w:ascii="Arial" w:hAnsi="Arial" w:cs="Arial"/>
          <w:sz w:val="22"/>
          <w:szCs w:val="22"/>
        </w:rPr>
      </w:pPr>
      <w:r w:rsidRPr="00C76F28">
        <w:rPr>
          <w:rFonts w:ascii="Arial" w:hAnsi="Arial" w:cs="Arial"/>
          <w:b/>
          <w:bCs/>
          <w:sz w:val="22"/>
          <w:szCs w:val="22"/>
        </w:rPr>
        <w:t>Scanner Requirement</w:t>
      </w:r>
      <w:r w:rsidR="00B648AD" w:rsidRPr="00C76F28">
        <w:rPr>
          <w:rFonts w:ascii="Arial" w:hAnsi="Arial" w:cs="Arial"/>
          <w:b/>
          <w:bCs/>
          <w:sz w:val="22"/>
          <w:szCs w:val="22"/>
        </w:rPr>
        <w:t>:</w:t>
      </w:r>
      <w:r w:rsidRPr="00C76F28">
        <w:rPr>
          <w:rFonts w:ascii="Arial" w:hAnsi="Arial" w:cs="Arial"/>
          <w:sz w:val="22"/>
          <w:szCs w:val="22"/>
        </w:rPr>
        <w:t xml:space="preserve"> 3 Tesla</w:t>
      </w:r>
      <w:r w:rsidR="001150DB" w:rsidRPr="00C76F28">
        <w:rPr>
          <w:rFonts w:ascii="Arial" w:hAnsi="Arial" w:cs="Arial"/>
          <w:sz w:val="22"/>
          <w:szCs w:val="22"/>
        </w:rPr>
        <w:t xml:space="preserve"> (3T)</w:t>
      </w:r>
      <w:r w:rsidRPr="00C76F28">
        <w:rPr>
          <w:rFonts w:ascii="Arial" w:hAnsi="Arial" w:cs="Arial"/>
          <w:sz w:val="22"/>
          <w:szCs w:val="22"/>
        </w:rPr>
        <w:t xml:space="preserve"> field strength only, with a multi-channel head coil.</w:t>
      </w:r>
    </w:p>
    <w:p w14:paraId="17828C8B" w14:textId="44DD2C37" w:rsidR="00D10DC6" w:rsidRPr="00C76F28" w:rsidRDefault="00D10DC6" w:rsidP="003135E7">
      <w:pPr>
        <w:rPr>
          <w:rFonts w:ascii="Arial" w:hAnsi="Arial" w:cs="Arial"/>
          <w:sz w:val="22"/>
          <w:szCs w:val="22"/>
        </w:rPr>
      </w:pPr>
      <w:r w:rsidRPr="00C76F28">
        <w:rPr>
          <w:rFonts w:ascii="Arial" w:hAnsi="Arial" w:cs="Arial"/>
          <w:b/>
          <w:bCs/>
          <w:sz w:val="22"/>
          <w:szCs w:val="22"/>
        </w:rPr>
        <w:lastRenderedPageBreak/>
        <w:t>QC Measurements Performed</w:t>
      </w:r>
      <w:r w:rsidR="00B648AD" w:rsidRPr="00C76F28">
        <w:rPr>
          <w:rFonts w:ascii="Arial" w:hAnsi="Arial" w:cs="Arial"/>
          <w:b/>
          <w:bCs/>
          <w:sz w:val="22"/>
          <w:szCs w:val="22"/>
        </w:rPr>
        <w:t>:</w:t>
      </w:r>
      <w:r w:rsidRPr="00C76F28">
        <w:rPr>
          <w:rFonts w:ascii="Arial" w:hAnsi="Arial" w:cs="Arial"/>
          <w:sz w:val="22"/>
          <w:szCs w:val="22"/>
        </w:rPr>
        <w:t xml:space="preserve"> </w:t>
      </w:r>
      <w:r w:rsidR="003135E7" w:rsidRPr="00C76F28">
        <w:rPr>
          <w:rFonts w:ascii="Arial" w:hAnsi="Arial" w:cs="Arial"/>
          <w:sz w:val="22"/>
          <w:szCs w:val="22"/>
        </w:rPr>
        <w:t>The quality</w:t>
      </w:r>
      <w:r w:rsidR="003135E7" w:rsidRPr="00C76F28">
        <w:rPr>
          <w:rFonts w:ascii="Cambria Math" w:hAnsi="Cambria Math" w:cs="Cambria Math"/>
          <w:sz w:val="22"/>
          <w:szCs w:val="22"/>
        </w:rPr>
        <w:t>‑</w:t>
      </w:r>
      <w:r w:rsidR="003135E7" w:rsidRPr="00C76F28">
        <w:rPr>
          <w:rFonts w:ascii="Arial" w:hAnsi="Arial" w:cs="Arial"/>
          <w:sz w:val="22"/>
          <w:szCs w:val="22"/>
        </w:rPr>
        <w:t>control team evaluated phantom scans for linear</w:t>
      </w:r>
      <w:r w:rsidR="003135E7" w:rsidRPr="00C76F28">
        <w:rPr>
          <w:rFonts w:ascii="Cambria Math" w:hAnsi="Cambria Math" w:cs="Cambria Math"/>
          <w:sz w:val="22"/>
          <w:szCs w:val="22"/>
        </w:rPr>
        <w:t>‑</w:t>
      </w:r>
      <w:r w:rsidR="003135E7" w:rsidRPr="00C76F28">
        <w:rPr>
          <w:rFonts w:ascii="Arial" w:hAnsi="Arial" w:cs="Arial"/>
          <w:sz w:val="22"/>
          <w:szCs w:val="22"/>
        </w:rPr>
        <w:t>scaling accuracy, gradient nonlinearity, and signal</w:t>
      </w:r>
      <w:r w:rsidR="003135E7" w:rsidRPr="00C76F28">
        <w:rPr>
          <w:rFonts w:ascii="Cambria Math" w:hAnsi="Cambria Math" w:cs="Cambria Math"/>
          <w:sz w:val="22"/>
          <w:szCs w:val="22"/>
        </w:rPr>
        <w:t>‑</w:t>
      </w:r>
      <w:r w:rsidR="003135E7" w:rsidRPr="00C76F28">
        <w:rPr>
          <w:rFonts w:ascii="Arial" w:hAnsi="Arial" w:cs="Arial"/>
          <w:sz w:val="22"/>
          <w:szCs w:val="22"/>
        </w:rPr>
        <w:t>to</w:t>
      </w:r>
      <w:r w:rsidR="003135E7" w:rsidRPr="00C76F28">
        <w:rPr>
          <w:rFonts w:ascii="Cambria Math" w:hAnsi="Cambria Math" w:cs="Cambria Math"/>
          <w:sz w:val="22"/>
          <w:szCs w:val="22"/>
        </w:rPr>
        <w:t>‑</w:t>
      </w:r>
      <w:r w:rsidR="003135E7" w:rsidRPr="00C76F28">
        <w:rPr>
          <w:rFonts w:ascii="Arial" w:hAnsi="Arial" w:cs="Arial"/>
          <w:sz w:val="22"/>
          <w:szCs w:val="22"/>
        </w:rPr>
        <w:t>noise ratio, which represented the primary performance parameters monitored across sites. The specific pulse</w:t>
      </w:r>
      <w:r w:rsidR="003135E7" w:rsidRPr="00C76F28">
        <w:rPr>
          <w:rFonts w:ascii="Cambria Math" w:hAnsi="Cambria Math" w:cs="Cambria Math"/>
          <w:sz w:val="22"/>
          <w:szCs w:val="22"/>
        </w:rPr>
        <w:t>‑</w:t>
      </w:r>
      <w:r w:rsidR="003135E7" w:rsidRPr="00C76F28">
        <w:rPr>
          <w:rFonts w:ascii="Arial" w:hAnsi="Arial" w:cs="Arial"/>
          <w:sz w:val="22"/>
          <w:szCs w:val="22"/>
        </w:rPr>
        <w:t>sequence parameters (TR, TE, voxel size, and related settings) were stored in the electronically transferred protocol files.</w:t>
      </w:r>
    </w:p>
    <w:p w14:paraId="2765555B" w14:textId="77777777" w:rsidR="00C70D04" w:rsidRDefault="00C70D04" w:rsidP="003135E7">
      <w:pPr>
        <w:rPr>
          <w:rFonts w:ascii="Arial" w:hAnsi="Arial" w:cs="Arial"/>
          <w:caps/>
          <w:sz w:val="22"/>
          <w:szCs w:val="22"/>
        </w:rPr>
      </w:pPr>
    </w:p>
    <w:p w14:paraId="5FF701D2" w14:textId="220DBBA5" w:rsidR="007A6E1F" w:rsidRPr="00C76F28" w:rsidRDefault="00A36203" w:rsidP="003135E7">
      <w:pPr>
        <w:rPr>
          <w:rFonts w:ascii="Arial" w:hAnsi="Arial" w:cs="Arial"/>
          <w:caps/>
          <w:sz w:val="22"/>
          <w:szCs w:val="22"/>
        </w:rPr>
      </w:pPr>
      <w:r>
        <w:rPr>
          <w:rFonts w:ascii="Times New Roman" w:eastAsia="Times New Roman" w:hAnsi="Times New Roman" w:cs="Times New Roman"/>
          <w:noProof/>
          <w:kern w:val="0"/>
        </w:rPr>
        <w:pict w14:anchorId="1FC60CD7">
          <v:rect id="_x0000_i1026" alt="" style="width:468pt;height:.05pt;mso-width-percent:0;mso-height-percent:0;mso-width-percent:0;mso-height-percent:0" o:hralign="center" o:hrstd="t" o:hr="t" fillcolor="#a0a0a0" stroked="f"/>
        </w:pict>
      </w:r>
    </w:p>
    <w:p w14:paraId="5A97C6D8" w14:textId="135A2253" w:rsidR="003135E7" w:rsidRPr="00C76F28" w:rsidRDefault="003135E7" w:rsidP="003135E7">
      <w:pPr>
        <w:rPr>
          <w:rFonts w:ascii="Arial" w:hAnsi="Arial" w:cs="Arial"/>
          <w:b/>
          <w:bCs/>
          <w:sz w:val="22"/>
          <w:szCs w:val="22"/>
        </w:rPr>
      </w:pPr>
      <w:r w:rsidRPr="00C76F28">
        <w:rPr>
          <w:rFonts w:ascii="Arial" w:hAnsi="Arial" w:cs="Arial"/>
          <w:b/>
          <w:bCs/>
          <w:sz w:val="22"/>
          <w:szCs w:val="22"/>
        </w:rPr>
        <w:t>Amyloid PET Details</w:t>
      </w:r>
    </w:p>
    <w:p w14:paraId="043A0CBC" w14:textId="77777777" w:rsidR="004C14FA" w:rsidRPr="00A50D2C" w:rsidRDefault="004C14FA" w:rsidP="004C14FA">
      <w:p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b/>
          <w:bCs/>
          <w:kern w:val="0"/>
          <w:sz w:val="22"/>
          <w:szCs w:val="22"/>
          <w14:ligatures w14:val="none"/>
        </w:rPr>
        <w:t>Radiopharmaceutical &amp; Dosing</w:t>
      </w:r>
    </w:p>
    <w:p w14:paraId="42074537" w14:textId="77777777" w:rsidR="004C14FA" w:rsidRPr="00A50D2C" w:rsidRDefault="004C14FA" w:rsidP="004C14FA">
      <w:pPr>
        <w:numPr>
          <w:ilvl w:val="0"/>
          <w:numId w:val="8"/>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Tracer: Florbetapir F 18 (Amyvid™)</w:t>
      </w:r>
    </w:p>
    <w:p w14:paraId="2BF71C4F" w14:textId="77777777" w:rsidR="004C14FA" w:rsidRPr="00A50D2C" w:rsidRDefault="004C14FA" w:rsidP="004C14FA">
      <w:pPr>
        <w:numPr>
          <w:ilvl w:val="0"/>
          <w:numId w:val="8"/>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Injected dose: 10 mCi (370 MBq) ± 10%, administered as a single IV bolus within 20 seconds, followed by a saline flush</w:t>
      </w:r>
    </w:p>
    <w:p w14:paraId="4205C78F" w14:textId="77777777" w:rsidR="004C14FA" w:rsidRPr="00A50D2C" w:rsidRDefault="004C14FA" w:rsidP="004C14FA">
      <w:pPr>
        <w:numPr>
          <w:ilvl w:val="0"/>
          <w:numId w:val="8"/>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Minimum acceptable dose: 5 mCi (below this, no injection should proceed)</w:t>
      </w:r>
    </w:p>
    <w:p w14:paraId="72C59003" w14:textId="77777777" w:rsidR="004C14FA" w:rsidRPr="00A50D2C" w:rsidRDefault="004C14FA" w:rsidP="004C14FA">
      <w:pPr>
        <w:numPr>
          <w:ilvl w:val="0"/>
          <w:numId w:val="8"/>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No fasting required prior to injection</w:t>
      </w:r>
    </w:p>
    <w:p w14:paraId="2032C5D8" w14:textId="77777777" w:rsidR="004C14FA" w:rsidRPr="00A50D2C" w:rsidRDefault="004C14FA" w:rsidP="004C14FA">
      <w:p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b/>
          <w:bCs/>
          <w:kern w:val="0"/>
          <w:sz w:val="22"/>
          <w:szCs w:val="22"/>
          <w14:ligatures w14:val="none"/>
        </w:rPr>
        <w:t>Scan Timing</w:t>
      </w:r>
    </w:p>
    <w:p w14:paraId="56DCA198" w14:textId="77777777" w:rsidR="004C14FA" w:rsidRPr="00A50D2C" w:rsidRDefault="004C14FA" w:rsidP="004C14FA">
      <w:pPr>
        <w:numPr>
          <w:ilvl w:val="0"/>
          <w:numId w:val="9"/>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Uptake period: ~50 minutes post-injection (participant rests quietly)</w:t>
      </w:r>
    </w:p>
    <w:p w14:paraId="693031E9" w14:textId="77777777" w:rsidR="004C14FA" w:rsidRPr="00A50D2C" w:rsidRDefault="004C14FA" w:rsidP="004C14FA">
      <w:pPr>
        <w:numPr>
          <w:ilvl w:val="0"/>
          <w:numId w:val="9"/>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Participant voids bladder at ~45 minutes post-injection</w:t>
      </w:r>
    </w:p>
    <w:p w14:paraId="78F7B4D9" w14:textId="77777777" w:rsidR="004C14FA" w:rsidRPr="00A50D2C" w:rsidRDefault="004C14FA" w:rsidP="004C14FA">
      <w:pPr>
        <w:numPr>
          <w:ilvl w:val="0"/>
          <w:numId w:val="9"/>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Emission scan starts at 50 minutes ± 5 minutes post-injection</w:t>
      </w:r>
    </w:p>
    <w:p w14:paraId="51E1D6AD" w14:textId="77777777" w:rsidR="004C14FA" w:rsidRPr="00A50D2C" w:rsidRDefault="004C14FA" w:rsidP="004C14FA">
      <w:p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b/>
          <w:bCs/>
          <w:kern w:val="0"/>
          <w:sz w:val="22"/>
          <w:szCs w:val="22"/>
          <w14:ligatures w14:val="none"/>
        </w:rPr>
        <w:t>Emission Acquisition</w:t>
      </w:r>
    </w:p>
    <w:p w14:paraId="5FF58FA0" w14:textId="77777777" w:rsidR="004C14FA" w:rsidRPr="00A50D2C" w:rsidRDefault="004C14FA" w:rsidP="004C14FA">
      <w:pPr>
        <w:numPr>
          <w:ilvl w:val="0"/>
          <w:numId w:val="10"/>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Frame structure: 4 × 5-minute dynamic acquisitions (total 20 minutes)</w:t>
      </w:r>
    </w:p>
    <w:p w14:paraId="6A93D2BA" w14:textId="77777777" w:rsidR="004C14FA" w:rsidRPr="00A50D2C" w:rsidRDefault="004C14FA" w:rsidP="004C14FA">
      <w:pPr>
        <w:numPr>
          <w:ilvl w:val="0"/>
          <w:numId w:val="10"/>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Acceptable fallback (if dynamic not available): 1 × 15-minute static scan</w:t>
      </w:r>
    </w:p>
    <w:p w14:paraId="44080F19" w14:textId="77777777" w:rsidR="004C14FA" w:rsidRPr="00A50D2C" w:rsidRDefault="004C14FA" w:rsidP="004C14FA">
      <w:pPr>
        <w:numPr>
          <w:ilvl w:val="0"/>
          <w:numId w:val="10"/>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Scanning direction: Head to foot</w:t>
      </w:r>
    </w:p>
    <w:p w14:paraId="043810A5" w14:textId="77777777" w:rsidR="004C14FA" w:rsidRPr="00A50D2C" w:rsidRDefault="004C14FA" w:rsidP="004C14FA">
      <w:pPr>
        <w:numPr>
          <w:ilvl w:val="0"/>
          <w:numId w:val="10"/>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Number of beds: 1 (brain only)</w:t>
      </w:r>
    </w:p>
    <w:p w14:paraId="75E34641" w14:textId="77777777" w:rsidR="004C14FA" w:rsidRPr="00A50D2C" w:rsidRDefault="004C14FA" w:rsidP="004C14FA">
      <w:pPr>
        <w:numPr>
          <w:ilvl w:val="0"/>
          <w:numId w:val="10"/>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Entire brain must be within the FOV</w:t>
      </w:r>
    </w:p>
    <w:p w14:paraId="2B0B3449" w14:textId="77777777" w:rsidR="004C14FA" w:rsidRPr="00A50D2C" w:rsidRDefault="004C14FA" w:rsidP="004C14FA">
      <w:p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b/>
          <w:bCs/>
          <w:kern w:val="0"/>
          <w:sz w:val="22"/>
          <w:szCs w:val="22"/>
          <w14:ligatures w14:val="none"/>
        </w:rPr>
        <w:t>Reconstruction Parameters</w:t>
      </w:r>
    </w:p>
    <w:tbl>
      <w:tblPr>
        <w:tblStyle w:val="TableGrid"/>
        <w:tblW w:w="0" w:type="auto"/>
        <w:tblLook w:val="04A0" w:firstRow="1" w:lastRow="0" w:firstColumn="1" w:lastColumn="0" w:noHBand="0" w:noVBand="1"/>
      </w:tblPr>
      <w:tblGrid>
        <w:gridCol w:w="2369"/>
        <w:gridCol w:w="6981"/>
      </w:tblGrid>
      <w:tr w:rsidR="004C14FA" w:rsidRPr="00A50D2C" w14:paraId="4592C598" w14:textId="77777777" w:rsidTr="008F7AC7">
        <w:tc>
          <w:tcPr>
            <w:tcW w:w="0" w:type="auto"/>
            <w:hideMark/>
          </w:tcPr>
          <w:p w14:paraId="67E193FB" w14:textId="77777777" w:rsidR="004C14FA" w:rsidRPr="00A50D2C" w:rsidRDefault="004C14FA" w:rsidP="0001753C">
            <w:pPr>
              <w:jc w:val="center"/>
              <w:rPr>
                <w:rFonts w:ascii="Arial" w:eastAsia="Times New Roman" w:hAnsi="Arial" w:cs="Arial"/>
                <w:b/>
                <w:bCs/>
                <w:kern w:val="0"/>
                <w:sz w:val="22"/>
                <w:szCs w:val="22"/>
                <w14:ligatures w14:val="none"/>
              </w:rPr>
            </w:pPr>
            <w:r w:rsidRPr="00A50D2C">
              <w:rPr>
                <w:rFonts w:ascii="Arial" w:eastAsia="Times New Roman" w:hAnsi="Arial" w:cs="Arial"/>
                <w:b/>
                <w:bCs/>
                <w:kern w:val="0"/>
                <w:sz w:val="22"/>
                <w:szCs w:val="22"/>
                <w14:ligatures w14:val="none"/>
              </w:rPr>
              <w:t>Parameter</w:t>
            </w:r>
          </w:p>
        </w:tc>
        <w:tc>
          <w:tcPr>
            <w:tcW w:w="0" w:type="auto"/>
            <w:hideMark/>
          </w:tcPr>
          <w:p w14:paraId="53F6FE9E" w14:textId="77777777" w:rsidR="004C14FA" w:rsidRPr="00A50D2C" w:rsidRDefault="004C14FA" w:rsidP="0001753C">
            <w:pPr>
              <w:jc w:val="center"/>
              <w:rPr>
                <w:rFonts w:ascii="Arial" w:eastAsia="Times New Roman" w:hAnsi="Arial" w:cs="Arial"/>
                <w:b/>
                <w:bCs/>
                <w:kern w:val="0"/>
                <w:sz w:val="22"/>
                <w:szCs w:val="22"/>
                <w14:ligatures w14:val="none"/>
              </w:rPr>
            </w:pPr>
            <w:r w:rsidRPr="00A50D2C">
              <w:rPr>
                <w:rFonts w:ascii="Arial" w:eastAsia="Times New Roman" w:hAnsi="Arial" w:cs="Arial"/>
                <w:b/>
                <w:bCs/>
                <w:kern w:val="0"/>
                <w:sz w:val="22"/>
                <w:szCs w:val="22"/>
                <w14:ligatures w14:val="none"/>
              </w:rPr>
              <w:t>Value</w:t>
            </w:r>
          </w:p>
        </w:tc>
      </w:tr>
      <w:tr w:rsidR="004C14FA" w:rsidRPr="00A50D2C" w14:paraId="1741F11D" w14:textId="77777777" w:rsidTr="008F7AC7">
        <w:tc>
          <w:tcPr>
            <w:tcW w:w="0" w:type="auto"/>
            <w:hideMark/>
          </w:tcPr>
          <w:p w14:paraId="2AB33C06"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Randoms correction</w:t>
            </w:r>
          </w:p>
        </w:tc>
        <w:tc>
          <w:tcPr>
            <w:tcW w:w="0" w:type="auto"/>
            <w:hideMark/>
          </w:tcPr>
          <w:p w14:paraId="391289EC"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On (Prompts – Delays)</w:t>
            </w:r>
          </w:p>
        </w:tc>
      </w:tr>
      <w:tr w:rsidR="004C14FA" w:rsidRPr="00A50D2C" w14:paraId="70571372" w14:textId="77777777" w:rsidTr="008F7AC7">
        <w:tc>
          <w:tcPr>
            <w:tcW w:w="0" w:type="auto"/>
            <w:hideMark/>
          </w:tcPr>
          <w:p w14:paraId="57CB98DC"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Scatter correction</w:t>
            </w:r>
          </w:p>
        </w:tc>
        <w:tc>
          <w:tcPr>
            <w:tcW w:w="0" w:type="auto"/>
            <w:hideMark/>
          </w:tcPr>
          <w:p w14:paraId="38B41A05"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On (Monte Carlo simulation based on CT data model)</w:t>
            </w:r>
          </w:p>
        </w:tc>
      </w:tr>
      <w:tr w:rsidR="004C14FA" w:rsidRPr="00A50D2C" w14:paraId="5B744AF8" w14:textId="77777777" w:rsidTr="008F7AC7">
        <w:tc>
          <w:tcPr>
            <w:tcW w:w="0" w:type="auto"/>
            <w:hideMark/>
          </w:tcPr>
          <w:p w14:paraId="5791F041"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Decay correction</w:t>
            </w:r>
          </w:p>
        </w:tc>
        <w:tc>
          <w:tcPr>
            <w:tcW w:w="0" w:type="auto"/>
            <w:hideMark/>
          </w:tcPr>
          <w:p w14:paraId="14BAC069"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On</w:t>
            </w:r>
          </w:p>
        </w:tc>
      </w:tr>
      <w:tr w:rsidR="004C14FA" w:rsidRPr="00A50D2C" w14:paraId="4C81BBB7" w14:textId="77777777" w:rsidTr="008F7AC7">
        <w:tc>
          <w:tcPr>
            <w:tcW w:w="0" w:type="auto"/>
            <w:hideMark/>
          </w:tcPr>
          <w:p w14:paraId="176CE93B"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Attenuation correction</w:t>
            </w:r>
          </w:p>
        </w:tc>
        <w:tc>
          <w:tcPr>
            <w:tcW w:w="0" w:type="auto"/>
            <w:hideMark/>
          </w:tcPr>
          <w:p w14:paraId="483C4DCE"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Measured (low-dose CT or rod source transmission)</w:t>
            </w:r>
          </w:p>
        </w:tc>
      </w:tr>
      <w:tr w:rsidR="004C14FA" w:rsidRPr="00A50D2C" w14:paraId="6F0DD726" w14:textId="77777777" w:rsidTr="008F7AC7">
        <w:tc>
          <w:tcPr>
            <w:tcW w:w="0" w:type="auto"/>
            <w:hideMark/>
          </w:tcPr>
          <w:p w14:paraId="280B3A31"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Reconstruction algorithm</w:t>
            </w:r>
          </w:p>
        </w:tc>
        <w:tc>
          <w:tcPr>
            <w:tcW w:w="0" w:type="auto"/>
            <w:hideMark/>
          </w:tcPr>
          <w:p w14:paraId="51C4340E"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Iterative OSEM — 4 iterations, 16 subsets (or RAMLA, depending on scanner manufacturer)</w:t>
            </w:r>
          </w:p>
        </w:tc>
      </w:tr>
      <w:tr w:rsidR="004C14FA" w:rsidRPr="00A50D2C" w14:paraId="1C9A66B6" w14:textId="77777777" w:rsidTr="008F7AC7">
        <w:tc>
          <w:tcPr>
            <w:tcW w:w="0" w:type="auto"/>
            <w:hideMark/>
          </w:tcPr>
          <w:p w14:paraId="0103B363"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Image matrix size</w:t>
            </w:r>
          </w:p>
        </w:tc>
        <w:tc>
          <w:tcPr>
            <w:tcW w:w="0" w:type="auto"/>
            <w:hideMark/>
          </w:tcPr>
          <w:p w14:paraId="060583B5"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128 × 128</w:t>
            </w:r>
          </w:p>
        </w:tc>
      </w:tr>
      <w:tr w:rsidR="004C14FA" w:rsidRPr="00A50D2C" w14:paraId="5F062B7A" w14:textId="77777777" w:rsidTr="008F7AC7">
        <w:tc>
          <w:tcPr>
            <w:tcW w:w="0" w:type="auto"/>
            <w:hideMark/>
          </w:tcPr>
          <w:p w14:paraId="6A631CAF"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Zoom</w:t>
            </w:r>
          </w:p>
        </w:tc>
        <w:tc>
          <w:tcPr>
            <w:tcW w:w="0" w:type="auto"/>
            <w:hideMark/>
          </w:tcPr>
          <w:p w14:paraId="77504F7B"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2</w:t>
            </w:r>
          </w:p>
        </w:tc>
      </w:tr>
      <w:tr w:rsidR="004C14FA" w:rsidRPr="00A50D2C" w14:paraId="224CC0E1" w14:textId="77777777" w:rsidTr="008F7AC7">
        <w:tc>
          <w:tcPr>
            <w:tcW w:w="0" w:type="auto"/>
            <w:hideMark/>
          </w:tcPr>
          <w:p w14:paraId="0ABEC2A9"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SFOV</w:t>
            </w:r>
          </w:p>
        </w:tc>
        <w:tc>
          <w:tcPr>
            <w:tcW w:w="0" w:type="auto"/>
            <w:hideMark/>
          </w:tcPr>
          <w:p w14:paraId="533E90FB"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600 mm</w:t>
            </w:r>
          </w:p>
        </w:tc>
      </w:tr>
      <w:tr w:rsidR="004C14FA" w:rsidRPr="00A50D2C" w14:paraId="40AA1E2A" w14:textId="77777777" w:rsidTr="008F7AC7">
        <w:tc>
          <w:tcPr>
            <w:tcW w:w="0" w:type="auto"/>
            <w:hideMark/>
          </w:tcPr>
          <w:p w14:paraId="75904D74"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Slice thickness</w:t>
            </w:r>
          </w:p>
        </w:tc>
        <w:tc>
          <w:tcPr>
            <w:tcW w:w="0" w:type="auto"/>
            <w:hideMark/>
          </w:tcPr>
          <w:p w14:paraId="3BF8538D"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4 mm (matched to CT slices)</w:t>
            </w:r>
          </w:p>
        </w:tc>
      </w:tr>
      <w:tr w:rsidR="004C14FA" w:rsidRPr="00A50D2C" w14:paraId="2BCC1B5F" w14:textId="77777777" w:rsidTr="008F7AC7">
        <w:tc>
          <w:tcPr>
            <w:tcW w:w="0" w:type="auto"/>
            <w:hideMark/>
          </w:tcPr>
          <w:p w14:paraId="59541835"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Post-reconstruction filter</w:t>
            </w:r>
          </w:p>
        </w:tc>
        <w:tc>
          <w:tcPr>
            <w:tcW w:w="0" w:type="auto"/>
            <w:hideMark/>
          </w:tcPr>
          <w:p w14:paraId="0A319920"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Gaussian, FWHM 5.0 mm</w:t>
            </w:r>
          </w:p>
        </w:tc>
      </w:tr>
      <w:tr w:rsidR="004C14FA" w:rsidRPr="00A50D2C" w14:paraId="2A3653C7" w14:textId="77777777" w:rsidTr="008F7AC7">
        <w:tc>
          <w:tcPr>
            <w:tcW w:w="0" w:type="auto"/>
            <w:hideMark/>
          </w:tcPr>
          <w:p w14:paraId="5042CE92"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lastRenderedPageBreak/>
              <w:t>Output units</w:t>
            </w:r>
          </w:p>
        </w:tc>
        <w:tc>
          <w:tcPr>
            <w:tcW w:w="0" w:type="auto"/>
            <w:hideMark/>
          </w:tcPr>
          <w:p w14:paraId="2DFBA6AF" w14:textId="77777777" w:rsidR="004C14FA" w:rsidRPr="00A50D2C" w:rsidRDefault="004C14FA" w:rsidP="0001753C">
            <w:pPr>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Quantitative (SUV, Bq/mL, or kBq/cc)</w:t>
            </w:r>
          </w:p>
        </w:tc>
      </w:tr>
    </w:tbl>
    <w:p w14:paraId="0138C8B9" w14:textId="77777777" w:rsidR="004C14FA" w:rsidRPr="00A50D2C" w:rsidRDefault="004C14FA" w:rsidP="004C14FA">
      <w:p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b/>
          <w:bCs/>
          <w:kern w:val="0"/>
          <w:sz w:val="22"/>
          <w:szCs w:val="22"/>
          <w14:ligatures w14:val="none"/>
        </w:rPr>
        <w:t>Attenuation Correction by Scanner Type</w:t>
      </w:r>
    </w:p>
    <w:p w14:paraId="3E3F6D53" w14:textId="77777777" w:rsidR="008F7AC7" w:rsidRDefault="004C14FA" w:rsidP="004C14FA">
      <w:pPr>
        <w:numPr>
          <w:ilvl w:val="0"/>
          <w:numId w:val="11"/>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PET-only: Rod source transmission scan, 5–10 minutes, acquired prior to emission</w:t>
      </w:r>
    </w:p>
    <w:p w14:paraId="0980A2B2" w14:textId="74641325" w:rsidR="003135E7" w:rsidRPr="008F7AC7" w:rsidRDefault="004C14FA" w:rsidP="004C14FA">
      <w:pPr>
        <w:numPr>
          <w:ilvl w:val="0"/>
          <w:numId w:val="11"/>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PET/CT: Standard low-dose, non-diagnostic CT of the head — ~55 eff mAs, ~120 kVp, acquired prior to emission</w:t>
      </w:r>
    </w:p>
    <w:p w14:paraId="10E8813E" w14:textId="10B7BC49" w:rsidR="004C14FA" w:rsidRPr="00C76F28" w:rsidRDefault="00A36203" w:rsidP="003135E7">
      <w:pPr>
        <w:rPr>
          <w:rFonts w:ascii="Arial" w:hAnsi="Arial" w:cs="Arial"/>
          <w:sz w:val="22"/>
          <w:szCs w:val="22"/>
        </w:rPr>
      </w:pPr>
      <w:r>
        <w:rPr>
          <w:rFonts w:ascii="Times New Roman" w:eastAsia="Times New Roman" w:hAnsi="Times New Roman" w:cs="Times New Roman"/>
          <w:noProof/>
          <w:kern w:val="0"/>
        </w:rPr>
        <w:pict w14:anchorId="5B2EEB3E">
          <v:rect id="_x0000_i1025" alt="" style="width:468pt;height:.05pt;mso-width-percent:0;mso-height-percent:0;mso-width-percent:0;mso-height-percent:0" o:hralign="center" o:hrstd="t" o:hr="t" fillcolor="#a0a0a0" stroked="f"/>
        </w:pict>
      </w:r>
    </w:p>
    <w:p w14:paraId="56CAA316" w14:textId="132FFD6B" w:rsidR="0066167E" w:rsidRPr="00C76F28" w:rsidRDefault="0066167E" w:rsidP="003135E7">
      <w:pPr>
        <w:rPr>
          <w:rFonts w:ascii="Arial" w:hAnsi="Arial" w:cs="Arial"/>
          <w:b/>
          <w:bCs/>
          <w:sz w:val="22"/>
          <w:szCs w:val="22"/>
        </w:rPr>
      </w:pPr>
      <w:r w:rsidRPr="00C76F28">
        <w:rPr>
          <w:rFonts w:ascii="Arial" w:hAnsi="Arial" w:cs="Arial"/>
          <w:b/>
          <w:bCs/>
          <w:sz w:val="22"/>
          <w:szCs w:val="22"/>
        </w:rPr>
        <w:t>Tau PET Details</w:t>
      </w:r>
    </w:p>
    <w:p w14:paraId="7A651268" w14:textId="77777777" w:rsidR="0066167E" w:rsidRPr="00A50D2C" w:rsidRDefault="0066167E" w:rsidP="0066167E">
      <w:p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b/>
          <w:bCs/>
          <w:kern w:val="0"/>
          <w:sz w:val="22"/>
          <w:szCs w:val="22"/>
          <w14:ligatures w14:val="none"/>
        </w:rPr>
        <w:t>Radiopharmaceutical &amp; Dosing</w:t>
      </w:r>
    </w:p>
    <w:p w14:paraId="12802A2D" w14:textId="77777777" w:rsidR="0066167E" w:rsidRPr="00A50D2C" w:rsidRDefault="0066167E" w:rsidP="0066167E">
      <w:pPr>
        <w:numPr>
          <w:ilvl w:val="0"/>
          <w:numId w:val="3"/>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Tracer: Flortaucipir F 18 (18F-AV-1451)</w:t>
      </w:r>
    </w:p>
    <w:p w14:paraId="59DEC6B4" w14:textId="77777777" w:rsidR="0066167E" w:rsidRPr="00A50D2C" w:rsidRDefault="0066167E" w:rsidP="0066167E">
      <w:pPr>
        <w:numPr>
          <w:ilvl w:val="0"/>
          <w:numId w:val="3"/>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Injected dose: 10 mCi (370 MBq) ± 10%, administered as a single IV bolus followed by 15–20 mL saline flush</w:t>
      </w:r>
    </w:p>
    <w:p w14:paraId="5279D6BC" w14:textId="3AA24D34" w:rsidR="0066167E" w:rsidRPr="00A50D2C" w:rsidRDefault="0066167E" w:rsidP="0066167E">
      <w:pPr>
        <w:numPr>
          <w:ilvl w:val="0"/>
          <w:numId w:val="3"/>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Minimum acceptable dose: 6 mCi (</w:t>
      </w:r>
      <w:r w:rsidR="00C64DEE" w:rsidRPr="00A50D2C">
        <w:rPr>
          <w:rFonts w:ascii="Arial" w:eastAsia="Times New Roman" w:hAnsi="Arial" w:cs="Arial"/>
          <w:kern w:val="0"/>
          <w:sz w:val="22"/>
          <w:szCs w:val="22"/>
          <w14:ligatures w14:val="none"/>
        </w:rPr>
        <w:t>below this, no injection should proceed</w:t>
      </w:r>
      <w:r w:rsidRPr="00A50D2C">
        <w:rPr>
          <w:rFonts w:ascii="Arial" w:eastAsia="Times New Roman" w:hAnsi="Arial" w:cs="Arial"/>
          <w:kern w:val="0"/>
          <w:sz w:val="22"/>
          <w:szCs w:val="22"/>
          <w14:ligatures w14:val="none"/>
        </w:rPr>
        <w:t>)</w:t>
      </w:r>
    </w:p>
    <w:p w14:paraId="272FC0FE" w14:textId="77777777" w:rsidR="0066167E" w:rsidRPr="00A50D2C" w:rsidRDefault="0066167E" w:rsidP="0066167E">
      <w:p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b/>
          <w:bCs/>
          <w:kern w:val="0"/>
          <w:sz w:val="22"/>
          <w:szCs w:val="22"/>
          <w14:ligatures w14:val="none"/>
        </w:rPr>
        <w:t>Scan Timing</w:t>
      </w:r>
    </w:p>
    <w:p w14:paraId="6E0B89D1" w14:textId="77777777" w:rsidR="0066167E" w:rsidRPr="00A50D2C" w:rsidRDefault="0066167E" w:rsidP="0066167E">
      <w:pPr>
        <w:numPr>
          <w:ilvl w:val="0"/>
          <w:numId w:val="4"/>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Uptake period: 75 minutes ± 5 minutes post-injection before emission scanning begins</w:t>
      </w:r>
    </w:p>
    <w:p w14:paraId="4BB303F2" w14:textId="77777777" w:rsidR="0066167E" w:rsidRPr="00A50D2C" w:rsidRDefault="0066167E" w:rsidP="0066167E">
      <w:pPr>
        <w:numPr>
          <w:ilvl w:val="0"/>
          <w:numId w:val="4"/>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Total scan duration: 30 minutes</w:t>
      </w:r>
    </w:p>
    <w:p w14:paraId="2DAB3FD8" w14:textId="77777777" w:rsidR="0066167E" w:rsidRPr="00A50D2C" w:rsidRDefault="0066167E" w:rsidP="0066167E">
      <w:p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b/>
          <w:bCs/>
          <w:kern w:val="0"/>
          <w:sz w:val="22"/>
          <w:szCs w:val="22"/>
          <w14:ligatures w14:val="none"/>
        </w:rPr>
        <w:t>Emission Acquisition</w:t>
      </w:r>
    </w:p>
    <w:p w14:paraId="1DBD0EA6" w14:textId="6FE2DABA" w:rsidR="0066167E" w:rsidRPr="00A50D2C" w:rsidRDefault="0066167E" w:rsidP="0066167E">
      <w:pPr>
        <w:numPr>
          <w:ilvl w:val="0"/>
          <w:numId w:val="5"/>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 xml:space="preserve">Frame structure: 6 × 5-minute dynamic acquisitions (static 1×15 min </w:t>
      </w:r>
      <w:r w:rsidR="002C519A" w:rsidRPr="00C76F28">
        <w:rPr>
          <w:rFonts w:ascii="Arial" w:eastAsia="Times New Roman" w:hAnsi="Arial" w:cs="Arial"/>
          <w:kern w:val="0"/>
          <w:sz w:val="22"/>
          <w:szCs w:val="22"/>
          <w14:ligatures w14:val="none"/>
        </w:rPr>
        <w:t>was</w:t>
      </w:r>
      <w:r w:rsidRPr="00A50D2C">
        <w:rPr>
          <w:rFonts w:ascii="Arial" w:eastAsia="Times New Roman" w:hAnsi="Arial" w:cs="Arial"/>
          <w:kern w:val="0"/>
          <w:sz w:val="22"/>
          <w:szCs w:val="22"/>
          <w14:ligatures w14:val="none"/>
        </w:rPr>
        <w:t xml:space="preserve"> </w:t>
      </w:r>
      <w:r w:rsidR="002C519A" w:rsidRPr="00C76F28">
        <w:rPr>
          <w:rFonts w:ascii="Arial" w:eastAsia="Times New Roman" w:hAnsi="Arial" w:cs="Arial"/>
          <w:kern w:val="0"/>
          <w:sz w:val="22"/>
          <w:szCs w:val="22"/>
          <w14:ligatures w14:val="none"/>
        </w:rPr>
        <w:t>not</w:t>
      </w:r>
      <w:r w:rsidRPr="00A50D2C">
        <w:rPr>
          <w:rFonts w:ascii="Arial" w:eastAsia="Times New Roman" w:hAnsi="Arial" w:cs="Arial"/>
          <w:kern w:val="0"/>
          <w:sz w:val="22"/>
          <w:szCs w:val="22"/>
          <w14:ligatures w14:val="none"/>
        </w:rPr>
        <w:t xml:space="preserve"> acceptable)</w:t>
      </w:r>
    </w:p>
    <w:p w14:paraId="78E7AD39" w14:textId="77777777" w:rsidR="0066167E" w:rsidRPr="00A50D2C" w:rsidRDefault="0066167E" w:rsidP="0066167E">
      <w:pPr>
        <w:numPr>
          <w:ilvl w:val="0"/>
          <w:numId w:val="5"/>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Minimum usable frames: 3 out of 6 (scans with &gt;4 motion-affected frames are deemed unanalyzable)</w:t>
      </w:r>
    </w:p>
    <w:p w14:paraId="6AED6960" w14:textId="02557F01" w:rsidR="0066167E" w:rsidRPr="00A50D2C" w:rsidRDefault="0066167E" w:rsidP="0066167E">
      <w:pPr>
        <w:numPr>
          <w:ilvl w:val="0"/>
          <w:numId w:val="5"/>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 xml:space="preserve">Field of view: Must include entire brain </w:t>
      </w:r>
      <w:r w:rsidR="008D61A7" w:rsidRPr="00C76F28">
        <w:rPr>
          <w:rFonts w:ascii="Arial" w:eastAsia="Times New Roman" w:hAnsi="Arial" w:cs="Arial"/>
          <w:kern w:val="0"/>
          <w:sz w:val="22"/>
          <w:szCs w:val="22"/>
          <w14:ligatures w14:val="none"/>
        </w:rPr>
        <w:t>-</w:t>
      </w:r>
      <w:r w:rsidRPr="00A50D2C">
        <w:rPr>
          <w:rFonts w:ascii="Arial" w:eastAsia="Times New Roman" w:hAnsi="Arial" w:cs="Arial"/>
          <w:kern w:val="0"/>
          <w:sz w:val="22"/>
          <w:szCs w:val="22"/>
          <w14:ligatures w14:val="none"/>
        </w:rPr>
        <w:t xml:space="preserve"> full cortex and cerebellum; scans missing any brain anatomy </w:t>
      </w:r>
      <w:r w:rsidR="00AB52DD" w:rsidRPr="00C76F28">
        <w:rPr>
          <w:rFonts w:ascii="Arial" w:eastAsia="Times New Roman" w:hAnsi="Arial" w:cs="Arial"/>
          <w:kern w:val="0"/>
          <w:sz w:val="22"/>
          <w:szCs w:val="22"/>
          <w14:ligatures w14:val="none"/>
        </w:rPr>
        <w:t>were deemed</w:t>
      </w:r>
      <w:r w:rsidRPr="00A50D2C">
        <w:rPr>
          <w:rFonts w:ascii="Arial" w:eastAsia="Times New Roman" w:hAnsi="Arial" w:cs="Arial"/>
          <w:kern w:val="0"/>
          <w:sz w:val="22"/>
          <w:szCs w:val="22"/>
          <w14:ligatures w14:val="none"/>
        </w:rPr>
        <w:t xml:space="preserve"> unanalyzable</w:t>
      </w:r>
    </w:p>
    <w:p w14:paraId="30F089E0" w14:textId="77777777" w:rsidR="0066167E" w:rsidRPr="00A50D2C" w:rsidRDefault="0066167E" w:rsidP="0066167E">
      <w:pPr>
        <w:numPr>
          <w:ilvl w:val="0"/>
          <w:numId w:val="5"/>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Scanning direction: Head to foot</w:t>
      </w:r>
    </w:p>
    <w:p w14:paraId="16E635E9" w14:textId="77777777" w:rsidR="0066167E" w:rsidRPr="00A50D2C" w:rsidRDefault="0066167E" w:rsidP="0066167E">
      <w:pPr>
        <w:numPr>
          <w:ilvl w:val="0"/>
          <w:numId w:val="5"/>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Number of beds: 1 (brain only)</w:t>
      </w:r>
    </w:p>
    <w:p w14:paraId="18AEF5D4" w14:textId="77777777" w:rsidR="0066167E" w:rsidRPr="00A50D2C" w:rsidRDefault="0066167E" w:rsidP="0066167E">
      <w:p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b/>
          <w:bCs/>
          <w:kern w:val="0"/>
          <w:sz w:val="22"/>
          <w:szCs w:val="22"/>
          <w14:ligatures w14:val="none"/>
        </w:rPr>
        <w:t>Reconstruction Parameters</w:t>
      </w:r>
    </w:p>
    <w:p w14:paraId="0B1972C0" w14:textId="257F8ED0" w:rsidR="0066167E" w:rsidRPr="00A50D2C" w:rsidRDefault="0066167E" w:rsidP="0066167E">
      <w:pPr>
        <w:numPr>
          <w:ilvl w:val="0"/>
          <w:numId w:val="6"/>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 xml:space="preserve">Algorithm: Iterative (approximating OSEM </w:t>
      </w:r>
      <w:r w:rsidR="00831436" w:rsidRPr="00C76F28">
        <w:rPr>
          <w:rFonts w:ascii="Arial" w:eastAsia="Times New Roman" w:hAnsi="Arial" w:cs="Arial"/>
          <w:kern w:val="0"/>
          <w:sz w:val="22"/>
          <w:szCs w:val="22"/>
          <w14:ligatures w14:val="none"/>
        </w:rPr>
        <w:t>-</w:t>
      </w:r>
      <w:r w:rsidRPr="00A50D2C">
        <w:rPr>
          <w:rFonts w:ascii="Arial" w:eastAsia="Times New Roman" w:hAnsi="Arial" w:cs="Arial"/>
          <w:kern w:val="0"/>
          <w:sz w:val="22"/>
          <w:szCs w:val="22"/>
          <w14:ligatures w14:val="none"/>
        </w:rPr>
        <w:t xml:space="preserve"> 4 iterations, 16 subsets); LOR-RAMLA / 3D-RAMLA for Philips scanners</w:t>
      </w:r>
    </w:p>
    <w:p w14:paraId="6A53F415" w14:textId="77777777" w:rsidR="0066167E" w:rsidRPr="00A50D2C" w:rsidRDefault="0066167E" w:rsidP="0066167E">
      <w:pPr>
        <w:numPr>
          <w:ilvl w:val="0"/>
          <w:numId w:val="6"/>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Image matrix size: 128 × 128</w:t>
      </w:r>
    </w:p>
    <w:p w14:paraId="31C7BCA5" w14:textId="77777777" w:rsidR="0066167E" w:rsidRPr="00A50D2C" w:rsidRDefault="0066167E" w:rsidP="0066167E">
      <w:pPr>
        <w:numPr>
          <w:ilvl w:val="0"/>
          <w:numId w:val="6"/>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Zoom: 2× (or FOV: 350 mm)</w:t>
      </w:r>
    </w:p>
    <w:p w14:paraId="569CD8D0" w14:textId="77777777" w:rsidR="0066167E" w:rsidRPr="00A50D2C" w:rsidRDefault="0066167E" w:rsidP="0066167E">
      <w:pPr>
        <w:numPr>
          <w:ilvl w:val="0"/>
          <w:numId w:val="6"/>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Slice thickness: 4 mm</w:t>
      </w:r>
    </w:p>
    <w:p w14:paraId="5A36795B" w14:textId="77777777" w:rsidR="0066167E" w:rsidRPr="00A50D2C" w:rsidRDefault="0066167E" w:rsidP="0066167E">
      <w:pPr>
        <w:numPr>
          <w:ilvl w:val="0"/>
          <w:numId w:val="6"/>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Post-reconstruction filter: Gaussian, FWHM 5.0 mm</w:t>
      </w:r>
    </w:p>
    <w:p w14:paraId="76DA7112" w14:textId="77777777" w:rsidR="0066167E" w:rsidRPr="00A50D2C" w:rsidRDefault="0066167E" w:rsidP="0066167E">
      <w:pPr>
        <w:numPr>
          <w:ilvl w:val="0"/>
          <w:numId w:val="6"/>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Corrections required: randoms, scatter, decay, and measured attenuation</w:t>
      </w:r>
    </w:p>
    <w:p w14:paraId="3530B7A6" w14:textId="77777777" w:rsidR="0066167E" w:rsidRPr="00A50D2C" w:rsidRDefault="0066167E" w:rsidP="0066167E">
      <w:pPr>
        <w:numPr>
          <w:ilvl w:val="0"/>
          <w:numId w:val="6"/>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Output units: Quantitative (SUV, Bq/mL, or kBq/cc)</w:t>
      </w:r>
    </w:p>
    <w:p w14:paraId="29023BBD" w14:textId="77777777" w:rsidR="0066167E" w:rsidRPr="00A50D2C" w:rsidRDefault="0066167E" w:rsidP="0066167E">
      <w:p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b/>
          <w:bCs/>
          <w:kern w:val="0"/>
          <w:sz w:val="22"/>
          <w:szCs w:val="22"/>
          <w14:ligatures w14:val="none"/>
        </w:rPr>
        <w:t>Attenuation Correction by Scanner Type</w:t>
      </w:r>
    </w:p>
    <w:p w14:paraId="55BA92BB" w14:textId="5CE858F1" w:rsidR="0066167E" w:rsidRPr="00A50D2C" w:rsidRDefault="0066167E" w:rsidP="0066167E">
      <w:pPr>
        <w:numPr>
          <w:ilvl w:val="0"/>
          <w:numId w:val="7"/>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PET-only: Rod source transmission scan, 5</w:t>
      </w:r>
      <w:r w:rsidR="00434D7B" w:rsidRPr="00C76F28">
        <w:rPr>
          <w:rFonts w:ascii="Arial" w:eastAsia="Times New Roman" w:hAnsi="Arial" w:cs="Arial"/>
          <w:kern w:val="0"/>
          <w:sz w:val="22"/>
          <w:szCs w:val="22"/>
          <w14:ligatures w14:val="none"/>
        </w:rPr>
        <w:t>-</w:t>
      </w:r>
      <w:r w:rsidRPr="00A50D2C">
        <w:rPr>
          <w:rFonts w:ascii="Arial" w:eastAsia="Times New Roman" w:hAnsi="Arial" w:cs="Arial"/>
          <w:kern w:val="0"/>
          <w:sz w:val="22"/>
          <w:szCs w:val="22"/>
          <w14:ligatures w14:val="none"/>
        </w:rPr>
        <w:t>10 minutes, prior to emission</w:t>
      </w:r>
    </w:p>
    <w:p w14:paraId="0B45B9A0" w14:textId="77777777" w:rsidR="00910252" w:rsidRPr="00C76F28" w:rsidRDefault="0066167E" w:rsidP="0066167E">
      <w:pPr>
        <w:numPr>
          <w:ilvl w:val="0"/>
          <w:numId w:val="7"/>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t xml:space="preserve">PET/CT: Low-dose non-diagnostic CT </w:t>
      </w:r>
      <w:r w:rsidR="00434D7B" w:rsidRPr="00C76F28">
        <w:rPr>
          <w:rFonts w:ascii="Arial" w:eastAsia="Times New Roman" w:hAnsi="Arial" w:cs="Arial"/>
          <w:kern w:val="0"/>
          <w:sz w:val="22"/>
          <w:szCs w:val="22"/>
          <w14:ligatures w14:val="none"/>
        </w:rPr>
        <w:t>-</w:t>
      </w:r>
      <w:r w:rsidRPr="00A50D2C">
        <w:rPr>
          <w:rFonts w:ascii="Arial" w:eastAsia="Times New Roman" w:hAnsi="Arial" w:cs="Arial"/>
          <w:kern w:val="0"/>
          <w:sz w:val="22"/>
          <w:szCs w:val="22"/>
          <w14:ligatures w14:val="none"/>
        </w:rPr>
        <w:t xml:space="preserve"> approximately 55 eff mAs, ~120 kVp</w:t>
      </w:r>
    </w:p>
    <w:p w14:paraId="7A8FD180" w14:textId="0A9BC468" w:rsidR="0066167E" w:rsidRPr="00C76F28" w:rsidRDefault="0066167E" w:rsidP="0066167E">
      <w:pPr>
        <w:numPr>
          <w:ilvl w:val="0"/>
          <w:numId w:val="7"/>
        </w:numPr>
        <w:spacing w:before="100" w:beforeAutospacing="1" w:after="100" w:afterAutospacing="1" w:line="240" w:lineRule="auto"/>
        <w:rPr>
          <w:rFonts w:ascii="Arial" w:eastAsia="Times New Roman" w:hAnsi="Arial" w:cs="Arial"/>
          <w:kern w:val="0"/>
          <w:sz w:val="22"/>
          <w:szCs w:val="22"/>
          <w14:ligatures w14:val="none"/>
        </w:rPr>
      </w:pPr>
      <w:r w:rsidRPr="00A50D2C">
        <w:rPr>
          <w:rFonts w:ascii="Arial" w:eastAsia="Times New Roman" w:hAnsi="Arial" w:cs="Arial"/>
          <w:kern w:val="0"/>
          <w:sz w:val="22"/>
          <w:szCs w:val="22"/>
          <w14:ligatures w14:val="none"/>
        </w:rPr>
        <w:lastRenderedPageBreak/>
        <w:t xml:space="preserve">PET/MR: Manufacturer-recommended MR AC sequence; parameters (voxel size, TR, TE, slice thickness, flip angle, FOV, acquisition time) </w:t>
      </w:r>
      <w:r w:rsidR="00434D7B" w:rsidRPr="00C76F28">
        <w:rPr>
          <w:rFonts w:ascii="Arial" w:eastAsia="Times New Roman" w:hAnsi="Arial" w:cs="Arial"/>
          <w:kern w:val="0"/>
          <w:sz w:val="22"/>
          <w:szCs w:val="22"/>
          <w14:ligatures w14:val="none"/>
        </w:rPr>
        <w:t>were required to</w:t>
      </w:r>
      <w:r w:rsidR="006D5153" w:rsidRPr="00C76F28">
        <w:rPr>
          <w:rFonts w:ascii="Arial" w:eastAsia="Times New Roman" w:hAnsi="Arial" w:cs="Arial"/>
          <w:kern w:val="0"/>
          <w:sz w:val="22"/>
          <w:szCs w:val="22"/>
          <w14:ligatures w14:val="none"/>
        </w:rPr>
        <w:t xml:space="preserve"> be</w:t>
      </w:r>
      <w:r w:rsidRPr="00A50D2C">
        <w:rPr>
          <w:rFonts w:ascii="Arial" w:eastAsia="Times New Roman" w:hAnsi="Arial" w:cs="Arial"/>
          <w:kern w:val="0"/>
          <w:sz w:val="22"/>
          <w:szCs w:val="22"/>
          <w14:ligatures w14:val="none"/>
        </w:rPr>
        <w:t xml:space="preserve"> constant across all timepoints</w:t>
      </w:r>
      <w:r w:rsidR="00434D7B" w:rsidRPr="00C76F28">
        <w:rPr>
          <w:rFonts w:ascii="Arial" w:eastAsia="Times New Roman" w:hAnsi="Arial" w:cs="Arial"/>
          <w:kern w:val="0"/>
          <w:sz w:val="22"/>
          <w:szCs w:val="22"/>
          <w14:ligatures w14:val="none"/>
        </w:rPr>
        <w:t>.</w:t>
      </w:r>
    </w:p>
    <w:sectPr w:rsidR="0066167E" w:rsidRPr="00C76F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Narrow">
    <w:panose1 w:val="020B0004020202020204"/>
    <w:charset w:val="00"/>
    <w:family w:val="swiss"/>
    <w:pitch w:val="variable"/>
    <w:sig w:usb0="20000287" w:usb1="00000003" w:usb2="00000000" w:usb3="00000000" w:csb0="0000019F" w:csb1="00000000"/>
  </w:font>
  <w:font w:name="Cambria Math">
    <w:panose1 w:val="02040503050406030204"/>
    <w:charset w:val="00"/>
    <w:family w:val="roman"/>
    <w:pitch w:val="variable"/>
    <w:sig w:usb0="E00002FF" w:usb1="42002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416881"/>
    <w:multiLevelType w:val="multilevel"/>
    <w:tmpl w:val="EC32E7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BE757B8"/>
    <w:multiLevelType w:val="multilevel"/>
    <w:tmpl w:val="E90C1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DF0114"/>
    <w:multiLevelType w:val="hybridMultilevel"/>
    <w:tmpl w:val="C2CE0524"/>
    <w:lvl w:ilvl="0" w:tplc="78E2DAB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F282903"/>
    <w:multiLevelType w:val="multilevel"/>
    <w:tmpl w:val="190405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6464F1"/>
    <w:multiLevelType w:val="multilevel"/>
    <w:tmpl w:val="64E648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246999"/>
    <w:multiLevelType w:val="multilevel"/>
    <w:tmpl w:val="A4165A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C2467A3"/>
    <w:multiLevelType w:val="multilevel"/>
    <w:tmpl w:val="5ECE7A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F7B0335"/>
    <w:multiLevelType w:val="multilevel"/>
    <w:tmpl w:val="8E5A76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8774276"/>
    <w:multiLevelType w:val="multilevel"/>
    <w:tmpl w:val="DF3A78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E281683"/>
    <w:multiLevelType w:val="hybridMultilevel"/>
    <w:tmpl w:val="8D6E287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8030FCA"/>
    <w:multiLevelType w:val="multilevel"/>
    <w:tmpl w:val="BBAC31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5052100">
    <w:abstractNumId w:val="9"/>
  </w:num>
  <w:num w:numId="2" w16cid:durableId="1392969709">
    <w:abstractNumId w:val="2"/>
  </w:num>
  <w:num w:numId="3" w16cid:durableId="11227307">
    <w:abstractNumId w:val="3"/>
  </w:num>
  <w:num w:numId="4" w16cid:durableId="887960899">
    <w:abstractNumId w:val="10"/>
  </w:num>
  <w:num w:numId="5" w16cid:durableId="1646350015">
    <w:abstractNumId w:val="4"/>
  </w:num>
  <w:num w:numId="6" w16cid:durableId="153910153">
    <w:abstractNumId w:val="8"/>
  </w:num>
  <w:num w:numId="7" w16cid:durableId="1093630856">
    <w:abstractNumId w:val="5"/>
  </w:num>
  <w:num w:numId="8" w16cid:durableId="1950121153">
    <w:abstractNumId w:val="0"/>
  </w:num>
  <w:num w:numId="9" w16cid:durableId="1602492167">
    <w:abstractNumId w:val="7"/>
  </w:num>
  <w:num w:numId="10" w16cid:durableId="1632512551">
    <w:abstractNumId w:val="1"/>
  </w:num>
  <w:num w:numId="11" w16cid:durableId="27159634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10DC6"/>
    <w:rsid w:val="0000485D"/>
    <w:rsid w:val="0004743D"/>
    <w:rsid w:val="00060404"/>
    <w:rsid w:val="000F1979"/>
    <w:rsid w:val="00114C58"/>
    <w:rsid w:val="001150DB"/>
    <w:rsid w:val="0015012D"/>
    <w:rsid w:val="00153B34"/>
    <w:rsid w:val="00185912"/>
    <w:rsid w:val="001D6C15"/>
    <w:rsid w:val="00226B20"/>
    <w:rsid w:val="002603AF"/>
    <w:rsid w:val="002A4395"/>
    <w:rsid w:val="002C519A"/>
    <w:rsid w:val="003135E7"/>
    <w:rsid w:val="00424603"/>
    <w:rsid w:val="00434D7B"/>
    <w:rsid w:val="00497207"/>
    <w:rsid w:val="004A3A37"/>
    <w:rsid w:val="004C14FA"/>
    <w:rsid w:val="00525DB7"/>
    <w:rsid w:val="00546409"/>
    <w:rsid w:val="0066167E"/>
    <w:rsid w:val="006D5153"/>
    <w:rsid w:val="006E7F5C"/>
    <w:rsid w:val="007A6E1F"/>
    <w:rsid w:val="007F353F"/>
    <w:rsid w:val="00824321"/>
    <w:rsid w:val="00831436"/>
    <w:rsid w:val="00882C1C"/>
    <w:rsid w:val="008D61A7"/>
    <w:rsid w:val="008D6E73"/>
    <w:rsid w:val="008F7402"/>
    <w:rsid w:val="008F7AC7"/>
    <w:rsid w:val="00910252"/>
    <w:rsid w:val="00A36203"/>
    <w:rsid w:val="00AB52DD"/>
    <w:rsid w:val="00B27E0E"/>
    <w:rsid w:val="00B648AD"/>
    <w:rsid w:val="00C5065D"/>
    <w:rsid w:val="00C64DEE"/>
    <w:rsid w:val="00C70D04"/>
    <w:rsid w:val="00C76F28"/>
    <w:rsid w:val="00CB0B8C"/>
    <w:rsid w:val="00CC7FC1"/>
    <w:rsid w:val="00D10DC6"/>
    <w:rsid w:val="00D828CA"/>
    <w:rsid w:val="00E8201D"/>
    <w:rsid w:val="00F202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5A6B8F"/>
  <w15:chartTrackingRefBased/>
  <w15:docId w15:val="{A7BF5781-65F7-A44C-A1CA-68386B4AB1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10DC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10DC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10DC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10DC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10DC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10DC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10DC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10DC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10DC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0DC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10DC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10DC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10DC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10DC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10DC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10DC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10DC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10DC6"/>
    <w:rPr>
      <w:rFonts w:eastAsiaTheme="majorEastAsia" w:cstheme="majorBidi"/>
      <w:color w:val="272727" w:themeColor="text1" w:themeTint="D8"/>
    </w:rPr>
  </w:style>
  <w:style w:type="paragraph" w:styleId="Title">
    <w:name w:val="Title"/>
    <w:basedOn w:val="Normal"/>
    <w:next w:val="Normal"/>
    <w:link w:val="TitleChar"/>
    <w:uiPriority w:val="10"/>
    <w:qFormat/>
    <w:rsid w:val="00D10DC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10DC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10DC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10DC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10DC6"/>
    <w:pPr>
      <w:spacing w:before="160"/>
      <w:jc w:val="center"/>
    </w:pPr>
    <w:rPr>
      <w:i/>
      <w:iCs/>
      <w:color w:val="404040" w:themeColor="text1" w:themeTint="BF"/>
    </w:rPr>
  </w:style>
  <w:style w:type="character" w:customStyle="1" w:styleId="QuoteChar">
    <w:name w:val="Quote Char"/>
    <w:basedOn w:val="DefaultParagraphFont"/>
    <w:link w:val="Quote"/>
    <w:uiPriority w:val="29"/>
    <w:rsid w:val="00D10DC6"/>
    <w:rPr>
      <w:i/>
      <w:iCs/>
      <w:color w:val="404040" w:themeColor="text1" w:themeTint="BF"/>
    </w:rPr>
  </w:style>
  <w:style w:type="paragraph" w:styleId="ListParagraph">
    <w:name w:val="List Paragraph"/>
    <w:basedOn w:val="Normal"/>
    <w:uiPriority w:val="34"/>
    <w:qFormat/>
    <w:rsid w:val="00D10DC6"/>
    <w:pPr>
      <w:ind w:left="720"/>
      <w:contextualSpacing/>
    </w:pPr>
  </w:style>
  <w:style w:type="character" w:styleId="IntenseEmphasis">
    <w:name w:val="Intense Emphasis"/>
    <w:basedOn w:val="DefaultParagraphFont"/>
    <w:uiPriority w:val="21"/>
    <w:qFormat/>
    <w:rsid w:val="00D10DC6"/>
    <w:rPr>
      <w:i/>
      <w:iCs/>
      <w:color w:val="0F4761" w:themeColor="accent1" w:themeShade="BF"/>
    </w:rPr>
  </w:style>
  <w:style w:type="paragraph" w:styleId="IntenseQuote">
    <w:name w:val="Intense Quote"/>
    <w:basedOn w:val="Normal"/>
    <w:next w:val="Normal"/>
    <w:link w:val="IntenseQuoteChar"/>
    <w:uiPriority w:val="30"/>
    <w:qFormat/>
    <w:rsid w:val="00D10DC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10DC6"/>
    <w:rPr>
      <w:i/>
      <w:iCs/>
      <w:color w:val="0F4761" w:themeColor="accent1" w:themeShade="BF"/>
    </w:rPr>
  </w:style>
  <w:style w:type="character" w:styleId="IntenseReference">
    <w:name w:val="Intense Reference"/>
    <w:basedOn w:val="DefaultParagraphFont"/>
    <w:uiPriority w:val="32"/>
    <w:qFormat/>
    <w:rsid w:val="00D10DC6"/>
    <w:rPr>
      <w:b/>
      <w:bCs/>
      <w:smallCaps/>
      <w:color w:val="0F4761" w:themeColor="accent1" w:themeShade="BF"/>
      <w:spacing w:val="5"/>
    </w:rPr>
  </w:style>
  <w:style w:type="table" w:styleId="TableGrid">
    <w:name w:val="Table Grid"/>
    <w:basedOn w:val="TableNormal"/>
    <w:uiPriority w:val="39"/>
    <w:rsid w:val="008F7A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525DB7"/>
    <w:rPr>
      <w:color w:val="467886" w:themeColor="hyperlink"/>
      <w:u w:val="single"/>
    </w:rPr>
  </w:style>
  <w:style w:type="character" w:styleId="UnresolvedMention">
    <w:name w:val="Unresolved Mention"/>
    <w:basedOn w:val="DefaultParagraphFont"/>
    <w:uiPriority w:val="99"/>
    <w:semiHidden/>
    <w:unhideWhenUsed/>
    <w:rsid w:val="00525DB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adni.loni.usc.edu/data-samples/adni-data/neuroimaging/mri/mri-scanner-protocols/"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24</TotalTime>
  <Pages>4</Pages>
  <Words>742</Words>
  <Characters>4335</Characters>
  <Application>Microsoft Office Word</Application>
  <DocSecurity>0</DocSecurity>
  <Lines>216</Lines>
  <Paragraphs>195</Paragraphs>
  <ScaleCrop>false</ScaleCrop>
  <Company/>
  <LinksUpToDate>false</LinksUpToDate>
  <CharactersWithSpaces>4882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Gustavo Jimenez-Maggiora</dc:creator>
  <cp:keywords/>
  <dc:description/>
  <cp:lastModifiedBy>Gustavo Jimenez-Maggiora</cp:lastModifiedBy>
  <cp:revision>50</cp:revision>
  <dcterms:created xsi:type="dcterms:W3CDTF">2026-03-10T13:17:00Z</dcterms:created>
  <dcterms:modified xsi:type="dcterms:W3CDTF">2026-03-18T14:52:00Z</dcterms:modified>
</cp:coreProperties>
</file>